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both"/>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w:t>
      </w:r>
      <w:r>
        <w:rPr>
          <w:rFonts w:eastAsia="宋体"/>
          <w:sz w:val="22"/>
          <w:szCs w:val="22"/>
          <w:lang w:val="en-GB" w:eastAsia="zh-CN"/>
        </w:rPr>
        <w:t xml:space="preserve">6       </w:t>
      </w:r>
      <w:r>
        <w:rPr>
          <w:sz w:val="22"/>
          <w:szCs w:val="22"/>
          <w:lang w:val="en-GB"/>
        </w:rPr>
        <w:t xml:space="preserve">                                         </w:t>
      </w:r>
      <w:r>
        <w:rPr>
          <w:rFonts w:hint="eastAsia" w:eastAsia="宋体"/>
          <w:sz w:val="22"/>
          <w:szCs w:val="22"/>
          <w:lang w:val="en-GB"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w:t>
      </w:r>
      <w:r>
        <w:rPr>
          <w:rFonts w:hint="eastAsia" w:eastAsia="宋体"/>
          <w:sz w:val="22"/>
          <w:szCs w:val="22"/>
          <w:lang w:val="en-GB" w:eastAsia="zh-CN"/>
        </w:rPr>
        <w:t>90</w:t>
      </w:r>
      <w:r>
        <w:rPr>
          <w:rFonts w:eastAsia="宋体"/>
          <w:sz w:val="22"/>
          <w:szCs w:val="22"/>
          <w:lang w:val="en-GB" w:eastAsia="zh-CN"/>
        </w:rPr>
        <w:t>5746</w:t>
      </w:r>
    </w:p>
    <w:p>
      <w:pPr>
        <w:pStyle w:val="17"/>
        <w:jc w:val="both"/>
        <w:rPr>
          <w:rFonts w:eastAsiaTheme="minorEastAsia"/>
          <w:sz w:val="18"/>
          <w:szCs w:val="18"/>
          <w:lang w:val="en-GB" w:eastAsia="zh-CN"/>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r>
        <w:rPr>
          <w:rFonts w:eastAsiaTheme="minorEastAsia"/>
          <w:sz w:val="22"/>
          <w:szCs w:val="22"/>
          <w:lang w:val="en-GB" w:eastAsia="zh-CN"/>
        </w:rPr>
        <w:t xml:space="preserve">          </w:t>
      </w:r>
      <w:bookmarkStart w:id="18" w:name="_GoBack"/>
      <w:bookmarkEnd w:id="18"/>
      <w:r>
        <w:rPr>
          <w:rFonts w:eastAsiaTheme="minorEastAsia"/>
          <w:sz w:val="22"/>
          <w:szCs w:val="22"/>
          <w:lang w:val="en-GB" w:eastAsia="zh-CN"/>
        </w:rPr>
        <w:t xml:space="preserve">          </w:t>
      </w:r>
      <w:r>
        <w:rPr>
          <w:rFonts w:hint="eastAsia" w:eastAsiaTheme="minorEastAsia"/>
          <w:sz w:val="22"/>
          <w:szCs w:val="22"/>
          <w:lang w:val="en-US" w:eastAsia="zh-CN"/>
        </w:rPr>
        <w:t xml:space="preserve">          </w:t>
      </w:r>
      <w:r>
        <w:rPr>
          <w:rFonts w:eastAsiaTheme="minorEastAsia"/>
          <w:sz w:val="22"/>
          <w:szCs w:val="22"/>
          <w:lang w:val="en-GB" w:eastAsia="zh-CN"/>
        </w:rPr>
        <w:t xml:space="preserve">        </w:t>
      </w:r>
      <w:r>
        <w:rPr>
          <w:rFonts w:eastAsiaTheme="minorEastAsia"/>
          <w:i/>
          <w:szCs w:val="22"/>
          <w:lang w:val="en-GB" w:eastAsia="zh-CN"/>
        </w:rPr>
        <w:t>revision of R2-1903144</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Prioritization rule for SR-PUSCH collision</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1"/>
      <w:bookmarkStart w:id="5" w:name="OLE_LINK2"/>
      <w:r>
        <w:rPr>
          <w:rFonts w:hint="eastAsia" w:eastAsia="宋体"/>
          <w:lang w:eastAsia="zh-CN"/>
        </w:rPr>
        <w:t xml:space="preserve">In RAN# 83 meeting, WID </w:t>
      </w:r>
      <w:r>
        <w:t>IoT</w:t>
      </w:r>
      <w:r>
        <w:rPr>
          <w:rFonts w:hint="eastAsia" w:eastAsia="宋体"/>
          <w:lang w:eastAsia="zh-CN"/>
        </w:rPr>
        <w:t xml:space="preserve"> was agreed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_Ref859876 \r \h</w:instrText>
      </w:r>
      <w:r>
        <w:rPr>
          <w:rFonts w:eastAsia="宋体"/>
          <w:lang w:eastAsia="zh-CN"/>
        </w:rPr>
        <w:instrText xml:space="preserve">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eastAsia="zh-CN"/>
        </w:rPr>
        <w:t>. And one of the objectives is:</w:t>
      </w:r>
    </w:p>
    <w:p>
      <w:pPr>
        <w:pStyle w:val="3"/>
        <w:rPr>
          <w:rFonts w:eastAsia="宋体"/>
          <w:lang w:eastAsia="zh-CN"/>
        </w:rPr>
      </w:pPr>
      <w:r>
        <w:rPr>
          <w:rFonts w:hint="eastAsia" w:eastAsia="宋体"/>
          <w:lang w:eastAsia="zh-CN"/>
        </w:rPr>
        <w:t>----------------------------------------------------------------------------------------------------------------------------</w:t>
      </w:r>
    </w:p>
    <w:p>
      <w:pPr>
        <w:overflowPunct w:val="0"/>
        <w:autoSpaceDE w:val="0"/>
        <w:autoSpaceDN w:val="0"/>
        <w:adjustRightInd w:val="0"/>
        <w:jc w:val="both"/>
        <w:textAlignment w:val="baseline"/>
      </w:pPr>
      <w:r>
        <w:rPr>
          <w:rFonts w:hint="eastAsia" w:eastAsiaTheme="minorEastAsia"/>
          <w:bCs/>
          <w:lang w:eastAsia="zh-CN"/>
        </w:rPr>
        <w:t xml:space="preserve">         2. </w:t>
      </w:r>
      <w:r>
        <w:rPr>
          <w:bCs/>
        </w:rPr>
        <w:t>The detailed objectives for NR intra-UE prioritization/multiplexing are:</w:t>
      </w:r>
    </w:p>
    <w:p>
      <w:pPr>
        <w:numPr>
          <w:ilvl w:val="0"/>
          <w:numId w:val="7"/>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pPr>
        <w:numPr>
          <w:ilvl w:val="1"/>
          <w:numId w:val="7"/>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p>
      <w:pPr>
        <w:numPr>
          <w:ilvl w:val="0"/>
          <w:numId w:val="7"/>
        </w:numPr>
        <w:overflowPunct w:val="0"/>
        <w:autoSpaceDE w:val="0"/>
        <w:autoSpaceDN w:val="0"/>
        <w:adjustRightInd w:val="0"/>
        <w:jc w:val="both"/>
        <w:textAlignment w:val="baseline"/>
      </w:pPr>
      <w:r>
        <w:t>Address UL data/control and control/control resource collision by:</w:t>
      </w:r>
    </w:p>
    <w:p>
      <w:pPr>
        <w:numPr>
          <w:ilvl w:val="1"/>
          <w:numId w:val="7"/>
        </w:numPr>
        <w:overflowPunct w:val="0"/>
        <w:autoSpaceDE w:val="0"/>
        <w:autoSpaceDN w:val="0"/>
        <w:adjustRightInd w:val="0"/>
        <w:jc w:val="both"/>
        <w:textAlignment w:val="baseline"/>
      </w:pPr>
      <w:r>
        <w:rPr>
          <w:highlight w:val="yellow"/>
        </w:rPr>
        <w:t>specifying a method to address resource collision between SR associating to high-priority traffic and uplink data of lower-priority traffic for the cases where MAC determines the prioritization [RAN2]</w:t>
      </w:r>
      <w:r>
        <w:t>.</w:t>
      </w:r>
    </w:p>
    <w:p>
      <w:pPr>
        <w:numPr>
          <w:ilvl w:val="1"/>
          <w:numId w:val="7"/>
        </w:numPr>
        <w:overflowPunct w:val="0"/>
        <w:autoSpaceDE w:val="0"/>
        <w:autoSpaceDN w:val="0"/>
        <w:adjustRightInd w:val="0"/>
        <w:jc w:val="both"/>
        <w:textAlignment w:val="baseline"/>
      </w:pPr>
      <w:r>
        <w:t>specifying prioritization and/or multiplexing behaviour among HARQ-ACK/SR/CSI and PUSCH for traffic with different priorities, including the cases with UCI on PUCCH and UCI on PUSCH [RAN1, RAN2].</w:t>
      </w:r>
    </w:p>
    <w:p>
      <w:pPr>
        <w:pStyle w:val="3"/>
        <w:rPr>
          <w:rFonts w:eastAsia="宋体"/>
          <w:lang w:eastAsia="zh-CN"/>
        </w:rPr>
      </w:pPr>
      <w:r>
        <w:rPr>
          <w:rFonts w:hint="eastAsia" w:eastAsia="宋体"/>
          <w:lang w:eastAsia="zh-CN"/>
        </w:rPr>
        <w:t>----------------------------------------------------------------------------------------------------------------------------</w:t>
      </w:r>
    </w:p>
    <w:p>
      <w:pPr>
        <w:pStyle w:val="3"/>
        <w:rPr>
          <w:rFonts w:eastAsiaTheme="minorEastAsia"/>
          <w:lang w:eastAsia="zh-CN"/>
        </w:rPr>
      </w:pPr>
      <w:r>
        <w:rPr>
          <w:rFonts w:hint="eastAsia" w:eastAsia="宋体"/>
          <w:lang w:eastAsia="zh-CN"/>
        </w:rPr>
        <w:t xml:space="preserve">In this document, </w:t>
      </w:r>
      <w:r>
        <w:rPr>
          <w:rFonts w:eastAsia="宋体"/>
          <w:lang w:eastAsia="zh-CN"/>
        </w:rPr>
        <w:t>the</w:t>
      </w:r>
      <w:r>
        <w:rPr>
          <w:rFonts w:hint="eastAsia" w:eastAsia="宋体"/>
          <w:lang w:eastAsia="zh-CN"/>
        </w:rPr>
        <w:t xml:space="preserve"> resource collision between SR and PUSCH is studied and solutions are provided.</w:t>
      </w:r>
    </w:p>
    <w:bookmarkEnd w:id="4"/>
    <w:bookmarkEnd w:id="5"/>
    <w:p>
      <w:pPr>
        <w:pStyle w:val="2"/>
        <w:jc w:val="both"/>
      </w:pPr>
      <w:r>
        <w:rPr>
          <w:rFonts w:hint="eastAsia"/>
        </w:rPr>
        <w:t>Discussion</w:t>
      </w:r>
    </w:p>
    <w:p>
      <w:pPr>
        <w:pStyle w:val="4"/>
        <w:ind w:left="562" w:hanging="562"/>
      </w:pPr>
      <w:bookmarkStart w:id="6" w:name="_Ref7704182"/>
      <w:r>
        <w:t>What matters from SR perspective?</w:t>
      </w:r>
      <w:bookmarkEnd w:id="6"/>
    </w:p>
    <w:p>
      <w:pPr>
        <w:pStyle w:val="3"/>
        <w:rPr>
          <w:rFonts w:eastAsiaTheme="minorEastAsia"/>
          <w:lang w:eastAsia="zh-CN"/>
        </w:rPr>
      </w:pPr>
      <w:r>
        <w:rPr>
          <w:lang w:eastAsia="zh-CN"/>
        </w:rPr>
        <w:t xml:space="preserve">The SR procedure originally aims at providing a BSR to the gNB, triggered by either new data arrival or periodic trigger. This is why, </w:t>
      </w:r>
      <w:r>
        <w:rPr>
          <w:rFonts w:eastAsiaTheme="minorEastAsia"/>
          <w:lang w:eastAsia="zh-CN"/>
        </w:rPr>
        <w:t>in Rel-15, PUSCH containing UL-SCH is prioritized over PUCCH-SR since, if the BSR was triggered before the PUSCH transmission (and assembly), it will be embedded in the PUSCH, and will get faster to the gNB compared to an SR procedure. However, NR introduced the support of multiple SR configurations, where each configuration is associated with one or more logical channels. Clearly the goal is to differentiate SRs/BSRs triggered by URLLC LCHs from SRs/BSRs triggered by eMBB channels. As a result, the SR itself now carries some information and gNB can react accordingly e.g. to an URLLC SR without waiting for the BSR to provide the full picture. This observation is important when regarded in the context of the Rel-16 intra-UE prioritization of SR-PUCCH vs PUSCH in support of IIoT.</w:t>
      </w:r>
    </w:p>
    <w:p>
      <w:pPr>
        <w:pStyle w:val="3"/>
        <w:rPr>
          <w:rFonts w:eastAsiaTheme="minorEastAsia"/>
          <w:b/>
          <w:lang w:eastAsia="zh-CN"/>
        </w:rPr>
      </w:pPr>
      <w:r>
        <w:rPr>
          <w:rFonts w:eastAsiaTheme="minorEastAsia"/>
          <w:b/>
          <w:lang w:eastAsia="zh-CN"/>
        </w:rPr>
        <w:t xml:space="preserve">Observation 1: In NR, receiving an SR associated to a URLLC channel provides sufficient information to the gNB to quickly react and schedule the UE accordingly. </w:t>
      </w:r>
    </w:p>
    <w:p>
      <w:pPr>
        <w:pStyle w:val="3"/>
        <w:rPr>
          <w:rFonts w:eastAsiaTheme="minorEastAsia"/>
          <w:lang w:eastAsia="zh-CN"/>
        </w:rPr>
      </w:pPr>
      <w:r>
        <w:rPr>
          <w:rFonts w:eastAsiaTheme="minorEastAsia"/>
          <w:lang w:eastAsia="zh-CN"/>
        </w:rPr>
        <w:t xml:space="preserve">On the other hand, if the SR is associated to an eMBB channel, getting the BSR is more important for the gNB as it provides a full picture of the amount of data the scheduler needs to provision. </w:t>
      </w:r>
    </w:p>
    <w:p>
      <w:pPr>
        <w:pStyle w:val="3"/>
        <w:rPr>
          <w:rFonts w:eastAsiaTheme="minorEastAsia"/>
          <w:b/>
          <w:lang w:eastAsia="zh-CN"/>
        </w:rPr>
      </w:pPr>
      <w:r>
        <w:rPr>
          <w:rFonts w:eastAsiaTheme="minorEastAsia"/>
          <w:b/>
          <w:lang w:eastAsia="zh-CN"/>
        </w:rPr>
        <w:t xml:space="preserve">Observation 2: In NR, receiving an SR associated to an eMBB channel is not sufficient for gNB to properly execute e.g. a proportional-fair scheduler, which requires the full picture provided by the BSR. </w:t>
      </w:r>
    </w:p>
    <w:p>
      <w:pPr>
        <w:pStyle w:val="4"/>
        <w:ind w:left="562" w:hanging="562"/>
      </w:pPr>
      <w:bookmarkStart w:id="7" w:name="_Ref4442342"/>
      <w:r>
        <w:t>Further clarifications on the scenario</w:t>
      </w:r>
      <w:bookmarkEnd w:id="7"/>
      <w:r>
        <w:t xml:space="preserve"> and associated solutions</w:t>
      </w:r>
    </w:p>
    <w:p>
      <w:pPr>
        <w:pStyle w:val="3"/>
        <w:jc w:val="left"/>
        <w:rPr>
          <w:rFonts w:eastAsiaTheme="minorEastAsia"/>
          <w:lang w:eastAsia="zh-CN"/>
        </w:rPr>
      </w:pPr>
      <w:r>
        <w:rPr>
          <w:rFonts w:eastAsiaTheme="minorEastAsia"/>
          <w:lang w:eastAsia="zh-CN"/>
        </w:rPr>
        <w:t>This scenario can be further split into two cases:</w:t>
      </w:r>
    </w:p>
    <w:p>
      <w:pPr>
        <w:pStyle w:val="3"/>
        <w:rPr>
          <w:rFonts w:eastAsiaTheme="minorEastAsia"/>
          <w:lang w:eastAsia="zh-CN"/>
        </w:rPr>
      </w:pPr>
      <w:r>
        <w:rPr>
          <w:rFonts w:eastAsiaTheme="minorEastAsia"/>
          <w:lang w:eastAsia="zh-CN"/>
        </w:rPr>
        <w:t>Case 1: The SR was triggered after the MAC PDU for PUSCH was assembled.</w:t>
      </w:r>
    </w:p>
    <w:p>
      <w:pPr>
        <w:pStyle w:val="3"/>
        <w:jc w:val="left"/>
        <w:rPr>
          <w:rFonts w:eastAsiaTheme="minorEastAsia"/>
          <w:lang w:eastAsia="zh-CN"/>
        </w:rPr>
      </w:pPr>
      <w:r>
        <w:rPr>
          <w:rFonts w:eastAsiaTheme="minorEastAsia"/>
          <w:lang w:eastAsia="zh-CN"/>
        </w:rPr>
        <w:t>Case 2: The SR was triggered before the MAC PDU for PUSCH was assembled.</w:t>
      </w:r>
    </w:p>
    <w:p>
      <w:pPr>
        <w:pStyle w:val="3"/>
        <w:rPr>
          <w:rFonts w:eastAsiaTheme="minorEastAsia"/>
          <w:u w:val="single"/>
          <w:lang w:eastAsia="zh-CN"/>
        </w:rPr>
      </w:pPr>
    </w:p>
    <w:p>
      <w:pPr>
        <w:pStyle w:val="5"/>
        <w:ind w:left="720" w:hanging="720"/>
      </w:pPr>
      <w:bookmarkStart w:id="8" w:name="_Ref7706411"/>
      <w:r>
        <w:rPr>
          <w:sz w:val="20"/>
        </w:rPr>
        <w:t>Case 1: The SR was triggered after the MAC PDU for PUSCH was assembled</w:t>
      </w:r>
      <w:bookmarkEnd w:id="8"/>
    </w:p>
    <w:p>
      <w:pPr>
        <w:jc w:val="both"/>
        <w:rPr>
          <w:rFonts w:eastAsiaTheme="minorEastAsia"/>
          <w:lang w:eastAsia="zh-CN"/>
        </w:rPr>
      </w:pPr>
      <w:r>
        <w:rPr>
          <w:rFonts w:eastAsiaTheme="minorEastAsia"/>
          <w:lang w:val="en-GB" w:eastAsia="zh-CN"/>
        </w:rPr>
        <w:t>In this case the PUSCH does not include a BSR reflecting the buffer status of the LCH that triggered the SR</w:t>
      </w:r>
      <w:r>
        <w:rPr>
          <w:rStyle w:val="33"/>
          <w:rFonts w:eastAsiaTheme="minorEastAsia"/>
          <w:lang w:val="en-GB" w:eastAsia="zh-CN"/>
        </w:rPr>
        <w:footnoteReference w:id="0"/>
      </w:r>
      <w:r>
        <w:rPr>
          <w:rFonts w:eastAsiaTheme="minorEastAsia"/>
          <w:lang w:val="en-GB" w:eastAsia="zh-CN"/>
        </w:rPr>
        <w:t xml:space="preserve">. Considering the discussion of Section </w:t>
      </w:r>
      <w:r>
        <w:rPr>
          <w:rFonts w:eastAsiaTheme="minorEastAsia"/>
          <w:lang w:val="en-GB" w:eastAsia="zh-CN"/>
        </w:rPr>
        <w:fldChar w:fldCharType="begin"/>
      </w:r>
      <w:r>
        <w:rPr>
          <w:rFonts w:eastAsiaTheme="minorEastAsia"/>
          <w:lang w:val="en-GB" w:eastAsia="zh-CN"/>
        </w:rPr>
        <w:instrText xml:space="preserve"> REF _Ref7704182 \r \h </w:instrText>
      </w:r>
      <w:r>
        <w:rPr>
          <w:rFonts w:eastAsiaTheme="minorEastAsia"/>
          <w:lang w:val="en-GB" w:eastAsia="zh-CN"/>
        </w:rPr>
        <w:fldChar w:fldCharType="separate"/>
      </w:r>
      <w:r>
        <w:rPr>
          <w:rFonts w:eastAsiaTheme="minorEastAsia"/>
          <w:lang w:val="en-GB" w:eastAsia="zh-CN"/>
        </w:rPr>
        <w:t>2.1</w:t>
      </w:r>
      <w:r>
        <w:rPr>
          <w:rFonts w:eastAsiaTheme="minorEastAsia"/>
          <w:lang w:val="en-GB" w:eastAsia="zh-CN"/>
        </w:rPr>
        <w:fldChar w:fldCharType="end"/>
      </w:r>
      <w:r>
        <w:rPr>
          <w:rFonts w:eastAsiaTheme="minorEastAsia"/>
          <w:lang w:val="en-GB" w:eastAsia="zh-CN"/>
        </w:rPr>
        <w:t xml:space="preserve">, if the PUSCH is prioritized, neither the SR nor the BSR can be sent in this slot. Since waiting for the next SR occasion on PUCCH might not be acceptable for the triggering LCH, the on-going PUSCH transmission might be cancelled in favour of the PUCCH-SR. Thus MAC-level solutions for prioritizing PUCCH-SR over PUSCH are needed to address this case. </w:t>
      </w:r>
      <w:r>
        <w:t xml:space="preserve">It should be further noted that in this case, the BSR can only be sent as a follow-up of an SR procedure occurring either in preemption of the current PUSCH transmission or after it. In both cases, both the latency and reliability criterions for sending the BSR are under scheduler control, upon receiving the SR. Hence, for this Case 1, the only criterion for running the prioritization, from MAC perspective, is the priority of the LCHs involved in the collision, as also captured in </w:t>
      </w:r>
      <w:r>
        <w:rPr>
          <w:rFonts w:eastAsiaTheme="minorEastAsia"/>
          <w:lang w:eastAsia="zh-CN"/>
        </w:rPr>
        <w:t xml:space="preserve">Section 5.3.2 of the TR </w:t>
      </w:r>
      <w:r>
        <w:rPr>
          <w:rFonts w:eastAsiaTheme="minorEastAsia"/>
          <w:lang w:eastAsia="zh-CN"/>
        </w:rPr>
        <w:fldChar w:fldCharType="begin"/>
      </w:r>
      <w:r>
        <w:rPr>
          <w:rFonts w:eastAsiaTheme="minorEastAsia"/>
          <w:lang w:eastAsia="zh-CN"/>
        </w:rPr>
        <w:instrText xml:space="preserve"> REF _Ref4169474 \r \h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3"/>
              <w:rPr>
                <w:rFonts w:eastAsiaTheme="minorEastAsia"/>
                <w:lang w:eastAsia="zh-CN"/>
              </w:rPr>
            </w:pPr>
            <w:r>
              <w:t>Possible solutions include to define a prioritization handling rule to determine whether to transmit SR or PUSCH based on e.g. the priority of the LCH which triggers the SR and priorities of the data to be transmitted on the PUSCH resource.</w:t>
            </w:r>
          </w:p>
        </w:tc>
      </w:tr>
    </w:tbl>
    <w:p>
      <w:pPr>
        <w:pStyle w:val="3"/>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_Ref7705253 \h  \* MERGEFORMAT </w:instrText>
      </w:r>
      <w:r>
        <w:rPr>
          <w:rFonts w:eastAsiaTheme="minorEastAsia"/>
          <w:lang w:eastAsia="zh-CN"/>
        </w:rPr>
        <w:fldChar w:fldCharType="separate"/>
      </w:r>
      <w:r>
        <w:rPr>
          <w:rFonts w:eastAsiaTheme="minorEastAsia"/>
          <w:lang w:val="en-GB" w:eastAsia="zh-CN"/>
        </w:rPr>
        <w:t>Figure 1</w:t>
      </w:r>
      <w:r>
        <w:rPr>
          <w:rFonts w:eastAsiaTheme="minorEastAsia"/>
          <w:lang w:eastAsia="zh-CN"/>
        </w:rPr>
        <w:fldChar w:fldCharType="end"/>
      </w:r>
      <w:r>
        <w:rPr>
          <w:rFonts w:eastAsiaTheme="minorEastAsia"/>
          <w:lang w:eastAsia="zh-CN"/>
        </w:rPr>
        <w:t xml:space="preserve"> elaborates the details of applying such principle, also accounting for the case where the PUSCH is for a re-transmission.</w:t>
      </w:r>
    </w:p>
    <w:p>
      <w:pPr>
        <w:pStyle w:val="3"/>
        <w:spacing w:before="120"/>
        <w:jc w:val="center"/>
        <w:rPr>
          <w:rFonts w:eastAsiaTheme="minorEastAsia"/>
          <w:lang w:eastAsia="zh-CN"/>
        </w:rPr>
      </w:pPr>
      <w:r>
        <w:rPr>
          <w:rFonts w:eastAsiaTheme="minorEastAsia"/>
          <w:lang w:eastAsia="zh-CN"/>
        </w:rPr>
        <w:object>
          <v:shape id="_x0000_i1025" o:spt="75" type="#_x0000_t75" style="height:155.45pt;width:370.3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3"/>
        <w:jc w:val="center"/>
        <w:rPr>
          <w:b/>
          <w:lang w:eastAsia="zh-CN"/>
        </w:rPr>
      </w:pPr>
      <w:bookmarkStart w:id="9" w:name="_Ref7705253"/>
      <w:bookmarkStart w:id="10" w:name="_Ref7705246"/>
      <w:r>
        <w:rPr>
          <w:rFonts w:eastAsiaTheme="minorEastAsia"/>
          <w:b/>
          <w:lang w:val="en-GB" w:eastAsia="zh-CN"/>
        </w:rPr>
        <w:t xml:space="preserve">Figure </w:t>
      </w:r>
      <w:r>
        <w:rPr>
          <w:rFonts w:eastAsiaTheme="minorEastAsia"/>
          <w:b/>
          <w:lang w:val="en-GB" w:eastAsia="zh-CN"/>
        </w:rPr>
        <w:fldChar w:fldCharType="begin"/>
      </w:r>
      <w:r>
        <w:rPr>
          <w:rFonts w:eastAsiaTheme="minorEastAsia"/>
          <w:b/>
          <w:lang w:val="en-GB" w:eastAsia="zh-CN"/>
        </w:rPr>
        <w:instrText xml:space="preserve"> SEQ Figure \* ARABIC </w:instrText>
      </w:r>
      <w:r>
        <w:rPr>
          <w:rFonts w:eastAsiaTheme="minorEastAsia"/>
          <w:b/>
          <w:lang w:val="en-GB" w:eastAsia="zh-CN"/>
        </w:rPr>
        <w:fldChar w:fldCharType="separate"/>
      </w:r>
      <w:r>
        <w:rPr>
          <w:rFonts w:eastAsiaTheme="minorEastAsia"/>
          <w:b/>
          <w:lang w:val="en-GB" w:eastAsia="zh-CN"/>
        </w:rPr>
        <w:t>1</w:t>
      </w:r>
      <w:r>
        <w:rPr>
          <w:rFonts w:eastAsiaTheme="minorEastAsia"/>
          <w:lang w:val="en-GB" w:eastAsia="zh-CN"/>
        </w:rPr>
        <w:fldChar w:fldCharType="end"/>
      </w:r>
      <w:bookmarkEnd w:id="9"/>
      <w:r>
        <w:rPr>
          <w:rFonts w:eastAsiaTheme="minorEastAsia"/>
          <w:b/>
          <w:lang w:val="en-GB" w:eastAsia="zh-CN"/>
        </w:rPr>
        <w:t xml:space="preserve">: </w:t>
      </w:r>
      <w:r>
        <w:rPr>
          <w:b/>
          <w:lang w:eastAsia="zh-CN"/>
        </w:rPr>
        <w:t>Priority-based solution</w:t>
      </w:r>
      <w:bookmarkEnd w:id="10"/>
    </w:p>
    <w:p>
      <w:pPr>
        <w:spacing w:before="120"/>
        <w:jc w:val="both"/>
        <w:rPr>
          <w:b/>
        </w:rPr>
      </w:pPr>
      <w:r>
        <w:rPr>
          <w:b/>
        </w:rPr>
        <w:t xml:space="preserve">Proposal 1: LCH-priority criterion is used for the SR/PUSCH prioritization rule when the SR was triggered </w:t>
      </w:r>
      <w:r>
        <w:rPr>
          <w:b/>
          <w:i/>
        </w:rPr>
        <w:t>after</w:t>
      </w:r>
      <w:r>
        <w:rPr>
          <w:b/>
        </w:rPr>
        <w:t xml:space="preserve"> the MAC PDU for PUSCH was assembled. </w:t>
      </w:r>
    </w:p>
    <w:p>
      <w:pPr>
        <w:pStyle w:val="5"/>
        <w:ind w:left="720" w:hanging="720"/>
      </w:pPr>
      <w:r>
        <w:rPr>
          <w:sz w:val="20"/>
        </w:rPr>
        <w:t>Case 2: The SR was triggered before the MAC PDU for PUSCH was assembled</w:t>
      </w:r>
    </w:p>
    <w:p>
      <w:pPr>
        <w:pStyle w:val="3"/>
        <w:rPr>
          <w:rFonts w:eastAsiaTheme="minorEastAsia"/>
          <w:lang w:eastAsia="zh-CN"/>
        </w:rPr>
      </w:pPr>
      <w:r>
        <w:rPr>
          <w:rFonts w:eastAsiaTheme="minorEastAsia"/>
          <w:lang w:eastAsia="zh-CN"/>
        </w:rPr>
        <w:t xml:space="preserve">This may correspond e.g. to the case where the PUSCH </w:t>
      </w:r>
      <w:r>
        <w:t xml:space="preserve">resources do not meet the LCP mapping restrictions configured for the </w:t>
      </w:r>
      <w:r>
        <w:rPr>
          <w:lang w:eastAsia="ko-KR"/>
        </w:rPr>
        <w:t>logical channel</w:t>
      </w:r>
      <w:r>
        <w:t xml:space="preserve"> that triggered the BSR </w:t>
      </w:r>
      <w:r>
        <w:fldChar w:fldCharType="begin"/>
      </w:r>
      <w:r>
        <w:instrText xml:space="preserve"> REF _Ref4157095 \r \h </w:instrText>
      </w:r>
      <w:r>
        <w:fldChar w:fldCharType="separate"/>
      </w:r>
      <w:r>
        <w:t>[2]</w:t>
      </w:r>
      <w:r>
        <w:fldChar w:fldCharType="end"/>
      </w:r>
      <w:r>
        <w:rPr>
          <w:rFonts w:eastAsiaTheme="minorEastAsia"/>
          <w:lang w:eastAsia="zh-CN"/>
        </w:rPr>
        <w:t xml:space="preserve"> or when the PUSCH was scheduled after the SR was triggered. In this case, there are two options:</w:t>
      </w:r>
    </w:p>
    <w:p>
      <w:pPr>
        <w:pStyle w:val="3"/>
        <w:numPr>
          <w:ilvl w:val="0"/>
          <w:numId w:val="8"/>
        </w:numPr>
        <w:rPr>
          <w:rFonts w:eastAsiaTheme="minorEastAsia"/>
          <w:lang w:eastAsia="zh-CN"/>
        </w:rPr>
      </w:pPr>
      <w:r>
        <w:rPr>
          <w:rFonts w:eastAsiaTheme="minorEastAsia"/>
          <w:lang w:eastAsia="zh-CN"/>
        </w:rPr>
        <w:t>Option 1: Embed the BSR in PUSCH (and prioritize PUSCH)</w:t>
      </w:r>
    </w:p>
    <w:p>
      <w:pPr>
        <w:pStyle w:val="3"/>
        <w:numPr>
          <w:ilvl w:val="0"/>
          <w:numId w:val="8"/>
        </w:numPr>
        <w:rPr>
          <w:rFonts w:eastAsiaTheme="minorEastAsia"/>
          <w:lang w:eastAsia="zh-CN"/>
        </w:rPr>
      </w:pPr>
      <w:r>
        <w:rPr>
          <w:rFonts w:eastAsiaTheme="minorEastAsia"/>
          <w:lang w:eastAsia="zh-CN"/>
        </w:rPr>
        <w:t>Option 2: Send the SR (prioritize PUCCH-SR)</w:t>
      </w:r>
    </w:p>
    <w:p>
      <w:pPr>
        <w:pStyle w:val="3"/>
        <w:rPr>
          <w:rFonts w:eastAsiaTheme="minorEastAsia"/>
          <w:lang w:eastAsia="zh-CN"/>
        </w:rPr>
      </w:pPr>
      <w:r>
        <w:rPr>
          <w:rFonts w:eastAsiaTheme="minorEastAsia"/>
          <w:lang w:eastAsia="zh-CN"/>
        </w:rPr>
        <w:t xml:space="preserve">This choice has a good match with the observations 1&amp;2 from Section </w:t>
      </w:r>
      <w:r>
        <w:rPr>
          <w:rFonts w:eastAsiaTheme="minorEastAsia"/>
          <w:lang w:eastAsia="zh-CN"/>
        </w:rPr>
        <w:fldChar w:fldCharType="begin"/>
      </w:r>
      <w:r>
        <w:rPr>
          <w:rFonts w:eastAsiaTheme="minorEastAsia"/>
          <w:lang w:eastAsia="zh-CN"/>
        </w:rPr>
        <w:instrText xml:space="preserve"> REF _Ref7704182 \r \h </w:instrText>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based on which it would be obvious that Option 1 or Option 2 should be selected if the SR was triggered by an eMBB logical channel or an URLLC logical channel, respectively. And assuming the eMBB and URLLC logical channels are configured with low and high priority respectively, the above priority-based solution (Section </w:t>
      </w:r>
      <w:r>
        <w:rPr>
          <w:rFonts w:eastAsiaTheme="minorEastAsia"/>
          <w:lang w:eastAsia="zh-CN"/>
        </w:rPr>
        <w:fldChar w:fldCharType="begin"/>
      </w:r>
      <w:r>
        <w:rPr>
          <w:rFonts w:eastAsiaTheme="minorEastAsia"/>
          <w:lang w:eastAsia="zh-CN"/>
        </w:rPr>
        <w:instrText xml:space="preserve"> REF _Ref7706411 \r \h </w:instrText>
      </w:r>
      <w:r>
        <w:rPr>
          <w:rFonts w:eastAsiaTheme="minorEastAsia"/>
          <w:lang w:eastAsia="zh-CN"/>
        </w:rPr>
        <w:fldChar w:fldCharType="separate"/>
      </w:r>
      <w:r>
        <w:rPr>
          <w:rFonts w:eastAsiaTheme="minorEastAsia"/>
          <w:lang w:eastAsia="zh-CN"/>
        </w:rPr>
        <w:t>2.2.1</w:t>
      </w:r>
      <w:r>
        <w:rPr>
          <w:rFonts w:eastAsiaTheme="minorEastAsia"/>
          <w:lang w:eastAsia="zh-CN"/>
        </w:rPr>
        <w:fldChar w:fldCharType="end"/>
      </w:r>
      <w:r>
        <w:rPr>
          <w:rFonts w:eastAsiaTheme="minorEastAsia"/>
          <w:lang w:eastAsia="zh-CN"/>
        </w:rPr>
        <w:t>) could work to handle the prioritization (Option 1 or 2).</w:t>
      </w:r>
    </w:p>
    <w:p>
      <w:pPr>
        <w:pStyle w:val="3"/>
        <w:rPr>
          <w:rFonts w:eastAsiaTheme="minorEastAsia"/>
          <w:lang w:eastAsia="zh-CN"/>
        </w:rPr>
      </w:pPr>
      <w:r>
        <w:rPr>
          <w:rFonts w:eastAsiaTheme="minorEastAsia"/>
          <w:lang w:eastAsia="zh-CN"/>
        </w:rPr>
        <w:t xml:space="preserve">However, IIoT brings as new requirement the need to handle co-existing URLLC traffics with, e.g. different latency requirements for similar priority requirements. An example is shown in the below table from </w:t>
      </w:r>
      <w:r>
        <w:rPr>
          <w:rFonts w:eastAsiaTheme="minorEastAsia"/>
          <w:lang w:eastAsia="zh-CN"/>
        </w:rPr>
        <w:fldChar w:fldCharType="begin"/>
      </w:r>
      <w:r>
        <w:rPr>
          <w:rFonts w:eastAsiaTheme="minorEastAsia"/>
          <w:lang w:eastAsia="zh-CN"/>
        </w:rPr>
        <w:instrText xml:space="preserve"> REF _Ref534616720 \n \h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where three services potentially handled by the same device have has high availability requirements for different latency and payload requirements. Moreover, in TSN networks, QoS is typically handled by IEEE802.1Qbv/Qcc scheduler, which can only set up to 8 priorities (due to 802.1Q tag limitation). Therefore 5GS will likely see flows with same priorities but from different services with different latency/reliability requirements. </w:t>
      </w:r>
    </w:p>
    <w:p>
      <w:pPr>
        <w:pStyle w:val="9"/>
        <w:keepNext/>
        <w:keepLines/>
        <w:jc w:val="center"/>
        <w:rPr>
          <w:b/>
        </w:rPr>
      </w:pPr>
      <w:r>
        <w:rPr>
          <w:b/>
        </w:rPr>
        <w:t xml:space="preserve">Extract of Table 5.2-1 of </w:t>
      </w:r>
      <w:r>
        <w:rPr>
          <w:b/>
        </w:rPr>
        <w:fldChar w:fldCharType="begin"/>
      </w:r>
      <w:r>
        <w:rPr>
          <w:b/>
        </w:rPr>
        <w:instrText xml:space="preserve"> REF _Ref534616720 \n \h </w:instrText>
      </w:r>
      <w:r>
        <w:rPr>
          <w:b/>
        </w:rPr>
        <w:fldChar w:fldCharType="separate"/>
      </w:r>
      <w:r>
        <w:rPr>
          <w:b/>
        </w:rPr>
        <w:t>[3]</w:t>
      </w:r>
      <w:r>
        <w:rPr>
          <w:b/>
        </w:rPr>
        <w:fldChar w:fldCharType="end"/>
      </w:r>
      <w:r>
        <w:rPr>
          <w:b/>
        </w:rPr>
        <w:t>: Periodic deterministic communication service performance requirements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123"/>
        <w:gridCol w:w="777"/>
        <w:gridCol w:w="917"/>
        <w:gridCol w:w="723"/>
        <w:gridCol w:w="697"/>
        <w:gridCol w:w="683"/>
        <w:gridCol w:w="643"/>
        <w:gridCol w:w="516"/>
        <w:gridCol w:w="644"/>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3742" w:type="dxa"/>
            <w:gridSpan w:val="4"/>
            <w:shd w:val="clear" w:color="auto" w:fill="auto"/>
          </w:tcPr>
          <w:p>
            <w:pPr>
              <w:pStyle w:val="72"/>
              <w:rPr>
                <w:sz w:val="12"/>
              </w:rPr>
            </w:pPr>
            <w:r>
              <w:rPr>
                <w:sz w:val="12"/>
              </w:rPr>
              <w:t>Characteristic parameter</w:t>
            </w:r>
          </w:p>
        </w:tc>
        <w:tc>
          <w:tcPr>
            <w:tcW w:w="3906" w:type="dxa"/>
            <w:gridSpan w:val="6"/>
            <w:shd w:val="clear" w:color="auto" w:fill="auto"/>
          </w:tcPr>
          <w:p>
            <w:pPr>
              <w:pStyle w:val="72"/>
              <w:rPr>
                <w:sz w:val="12"/>
              </w:rPr>
            </w:pPr>
            <w:r>
              <w:rPr>
                <w:sz w:val="12"/>
              </w:rPr>
              <w:t>Influence quantity</w:t>
            </w:r>
          </w:p>
        </w:tc>
        <w:tc>
          <w:tcPr>
            <w:tcW w:w="874" w:type="dxa"/>
            <w:shd w:val="clear" w:color="auto" w:fill="auto"/>
          </w:tcPr>
          <w:p>
            <w:pPr>
              <w:keepNext/>
              <w:keepLines/>
              <w:spacing w:before="60"/>
              <w:jc w:val="center"/>
              <w:rPr>
                <w:rFonts w:ascii="Arial" w:hAnsi="Arial"/>
                <w:b/>
                <w:sz w:val="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925" w:type="dxa"/>
            <w:shd w:val="clear" w:color="auto" w:fill="auto"/>
          </w:tcPr>
          <w:p>
            <w:pPr>
              <w:pStyle w:val="72"/>
              <w:rPr>
                <w:sz w:val="12"/>
              </w:rPr>
            </w:pPr>
            <w:r>
              <w:rPr>
                <w:sz w:val="12"/>
              </w:rPr>
              <w:t>Communi</w:t>
            </w:r>
            <w:r>
              <w:rPr>
                <w:sz w:val="12"/>
              </w:rPr>
              <w:softHyphen/>
            </w:r>
            <w:r>
              <w:rPr>
                <w:sz w:val="12"/>
              </w:rPr>
              <w:t>ca</w:t>
            </w:r>
            <w:r>
              <w:rPr>
                <w:sz w:val="12"/>
              </w:rPr>
              <w:softHyphen/>
            </w:r>
            <w:r>
              <w:rPr>
                <w:sz w:val="12"/>
              </w:rPr>
              <w:t>tion service availability: target value (note 1)</w:t>
            </w:r>
          </w:p>
        </w:tc>
        <w:tc>
          <w:tcPr>
            <w:tcW w:w="1123" w:type="dxa"/>
            <w:shd w:val="clear" w:color="auto" w:fill="auto"/>
          </w:tcPr>
          <w:p>
            <w:pPr>
              <w:pStyle w:val="72"/>
              <w:rPr>
                <w:sz w:val="12"/>
              </w:rPr>
            </w:pPr>
            <w:r>
              <w:rPr>
                <w:sz w:val="12"/>
              </w:rPr>
              <w:t>Communication service reliabi</w:t>
            </w:r>
            <w:r>
              <w:rPr>
                <w:sz w:val="12"/>
              </w:rPr>
              <w:softHyphen/>
            </w:r>
            <w:r>
              <w:rPr>
                <w:sz w:val="12"/>
              </w:rPr>
              <w:t>li</w:t>
            </w:r>
            <w:r>
              <w:rPr>
                <w:sz w:val="12"/>
              </w:rPr>
              <w:softHyphen/>
            </w:r>
            <w:r>
              <w:rPr>
                <w:sz w:val="12"/>
              </w:rPr>
              <w:t>ty: mean time between failures</w:t>
            </w:r>
          </w:p>
        </w:tc>
        <w:tc>
          <w:tcPr>
            <w:tcW w:w="777" w:type="dxa"/>
            <w:shd w:val="clear" w:color="auto" w:fill="auto"/>
          </w:tcPr>
          <w:p>
            <w:pPr>
              <w:pStyle w:val="72"/>
              <w:rPr>
                <w:sz w:val="12"/>
              </w:rPr>
            </w:pPr>
            <w:r>
              <w:rPr>
                <w:sz w:val="12"/>
              </w:rPr>
              <w:t>End-to-end latency: maximum (note 2)</w:t>
            </w:r>
          </w:p>
        </w:tc>
        <w:tc>
          <w:tcPr>
            <w:tcW w:w="917" w:type="dxa"/>
            <w:shd w:val="clear" w:color="auto" w:fill="auto"/>
          </w:tcPr>
          <w:p>
            <w:pPr>
              <w:pStyle w:val="72"/>
              <w:rPr>
                <w:sz w:val="12"/>
              </w:rPr>
            </w:pPr>
            <w:r>
              <w:rPr>
                <w:sz w:val="12"/>
              </w:rPr>
              <w:t>Service bit rate: user experienced data rate</w:t>
            </w:r>
          </w:p>
        </w:tc>
        <w:tc>
          <w:tcPr>
            <w:tcW w:w="723" w:type="dxa"/>
            <w:shd w:val="clear" w:color="auto" w:fill="auto"/>
          </w:tcPr>
          <w:p>
            <w:pPr>
              <w:pStyle w:val="72"/>
              <w:rPr>
                <w:sz w:val="12"/>
              </w:rPr>
            </w:pPr>
            <w:r>
              <w:rPr>
                <w:sz w:val="12"/>
              </w:rPr>
              <w:t>Message size [byte]</w:t>
            </w:r>
          </w:p>
        </w:tc>
        <w:tc>
          <w:tcPr>
            <w:tcW w:w="697" w:type="dxa"/>
          </w:tcPr>
          <w:p>
            <w:pPr>
              <w:pStyle w:val="72"/>
              <w:rPr>
                <w:sz w:val="12"/>
              </w:rPr>
            </w:pPr>
            <w:r>
              <w:rPr>
                <w:sz w:val="12"/>
              </w:rPr>
              <w:t>Transfer interval: target value</w:t>
            </w:r>
          </w:p>
        </w:tc>
        <w:tc>
          <w:tcPr>
            <w:tcW w:w="683" w:type="dxa"/>
          </w:tcPr>
          <w:p>
            <w:pPr>
              <w:pStyle w:val="72"/>
              <w:rPr>
                <w:sz w:val="12"/>
              </w:rPr>
            </w:pPr>
            <w:r>
              <w:rPr>
                <w:sz w:val="12"/>
              </w:rPr>
              <w:t>Survival time</w:t>
            </w:r>
          </w:p>
        </w:tc>
        <w:tc>
          <w:tcPr>
            <w:tcW w:w="643" w:type="dxa"/>
          </w:tcPr>
          <w:p>
            <w:pPr>
              <w:pStyle w:val="72"/>
              <w:rPr>
                <w:sz w:val="12"/>
              </w:rPr>
            </w:pPr>
            <w:r>
              <w:rPr>
                <w:sz w:val="12"/>
              </w:rPr>
              <w:t xml:space="preserve">UE </w:t>
            </w:r>
            <w:r>
              <w:rPr>
                <w:sz w:val="12"/>
              </w:rPr>
              <w:br w:type="textWrapping"/>
            </w:r>
            <w:r>
              <w:rPr>
                <w:sz w:val="12"/>
              </w:rPr>
              <w:t>speed</w:t>
            </w:r>
          </w:p>
        </w:tc>
        <w:tc>
          <w:tcPr>
            <w:tcW w:w="516" w:type="dxa"/>
          </w:tcPr>
          <w:p>
            <w:pPr>
              <w:pStyle w:val="72"/>
              <w:rPr>
                <w:sz w:val="12"/>
              </w:rPr>
            </w:pPr>
            <w:r>
              <w:rPr>
                <w:sz w:val="12"/>
              </w:rPr>
              <w:t># of UEs</w:t>
            </w:r>
          </w:p>
        </w:tc>
        <w:tc>
          <w:tcPr>
            <w:tcW w:w="644" w:type="dxa"/>
          </w:tcPr>
          <w:p>
            <w:pPr>
              <w:pStyle w:val="72"/>
              <w:rPr>
                <w:sz w:val="12"/>
              </w:rPr>
            </w:pPr>
            <w:r>
              <w:rPr>
                <w:sz w:val="12"/>
              </w:rPr>
              <w:t xml:space="preserve">Service area </w:t>
            </w:r>
            <w:r>
              <w:rPr>
                <w:sz w:val="12"/>
              </w:rPr>
              <w:br w:type="textWrapping"/>
            </w:r>
            <w:r>
              <w:rPr>
                <w:sz w:val="12"/>
              </w:rPr>
              <w:t>(note 3)</w:t>
            </w:r>
          </w:p>
        </w:tc>
        <w:tc>
          <w:tcPr>
            <w:tcW w:w="874" w:type="dxa"/>
          </w:tcPr>
          <w:p>
            <w:pPr>
              <w:pStyle w:val="72"/>
              <w:rPr>
                <w:sz w:val="12"/>
              </w:rPr>
            </w:pPr>
            <w:r>
              <w:rPr>
                <w:sz w:val="12"/>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5" w:type="dxa"/>
            <w:shd w:val="clear" w:color="auto" w:fill="auto"/>
          </w:tcPr>
          <w:p>
            <w:pPr>
              <w:pStyle w:val="85"/>
              <w:rPr>
                <w:sz w:val="12"/>
              </w:rPr>
            </w:pPr>
            <w:r>
              <w:rPr>
                <w:sz w:val="12"/>
              </w:rPr>
              <w:t xml:space="preserve">99,9999 % to </w:t>
            </w:r>
            <w:r>
              <w:rPr>
                <w:sz w:val="12"/>
                <w:highlight w:val="green"/>
              </w:rPr>
              <w:t>99,999999</w:t>
            </w:r>
            <w:r>
              <w:rPr>
                <w:sz w:val="12"/>
              </w:rPr>
              <w:t> %</w:t>
            </w:r>
          </w:p>
        </w:tc>
        <w:tc>
          <w:tcPr>
            <w:tcW w:w="1123" w:type="dxa"/>
            <w:shd w:val="clear" w:color="auto" w:fill="auto"/>
          </w:tcPr>
          <w:p>
            <w:pPr>
              <w:pStyle w:val="85"/>
              <w:rPr>
                <w:sz w:val="12"/>
              </w:rPr>
            </w:pPr>
            <w:r>
              <w:rPr>
                <w:sz w:val="12"/>
              </w:rPr>
              <w:t>~ 10 years</w:t>
            </w:r>
          </w:p>
        </w:tc>
        <w:tc>
          <w:tcPr>
            <w:tcW w:w="777" w:type="dxa"/>
            <w:shd w:val="clear" w:color="auto" w:fill="auto"/>
          </w:tcPr>
          <w:p>
            <w:pPr>
              <w:pStyle w:val="85"/>
              <w:rPr>
                <w:sz w:val="12"/>
              </w:rPr>
            </w:pPr>
            <w:r>
              <w:rPr>
                <w:sz w:val="12"/>
                <w:lang w:eastAsia="en-US"/>
              </w:rPr>
              <w:t>&lt; transfer interval value</w:t>
            </w:r>
          </w:p>
        </w:tc>
        <w:tc>
          <w:tcPr>
            <w:tcW w:w="917" w:type="dxa"/>
            <w:shd w:val="clear" w:color="auto" w:fill="auto"/>
          </w:tcPr>
          <w:p>
            <w:pPr>
              <w:pStyle w:val="85"/>
              <w:rPr>
                <w:sz w:val="12"/>
              </w:rPr>
            </w:pPr>
            <w:r>
              <w:rPr>
                <w:sz w:val="12"/>
              </w:rPr>
              <w:t>–</w:t>
            </w:r>
          </w:p>
        </w:tc>
        <w:tc>
          <w:tcPr>
            <w:tcW w:w="723" w:type="dxa"/>
            <w:shd w:val="clear" w:color="auto" w:fill="auto"/>
          </w:tcPr>
          <w:p>
            <w:pPr>
              <w:pStyle w:val="85"/>
              <w:rPr>
                <w:sz w:val="12"/>
              </w:rPr>
            </w:pPr>
            <w:r>
              <w:rPr>
                <w:sz w:val="12"/>
              </w:rPr>
              <w:t>40</w:t>
            </w:r>
          </w:p>
        </w:tc>
        <w:tc>
          <w:tcPr>
            <w:tcW w:w="697" w:type="dxa"/>
          </w:tcPr>
          <w:p>
            <w:pPr>
              <w:pStyle w:val="85"/>
              <w:rPr>
                <w:sz w:val="12"/>
              </w:rPr>
            </w:pPr>
            <w:r>
              <w:rPr>
                <w:sz w:val="12"/>
                <w:highlight w:val="green"/>
              </w:rPr>
              <w:t>1 ms</w:t>
            </w:r>
            <w:r>
              <w:rPr>
                <w:sz w:val="12"/>
              </w:rPr>
              <w:t xml:space="preserve"> </w:t>
            </w:r>
          </w:p>
        </w:tc>
        <w:tc>
          <w:tcPr>
            <w:tcW w:w="683" w:type="dxa"/>
          </w:tcPr>
          <w:p>
            <w:pPr>
              <w:pStyle w:val="85"/>
              <w:rPr>
                <w:sz w:val="12"/>
              </w:rPr>
            </w:pPr>
            <w:r>
              <w:rPr>
                <w:sz w:val="12"/>
              </w:rPr>
              <w:t>1 ms</w:t>
            </w:r>
          </w:p>
        </w:tc>
        <w:tc>
          <w:tcPr>
            <w:tcW w:w="643" w:type="dxa"/>
          </w:tcPr>
          <w:p>
            <w:pPr>
              <w:pStyle w:val="85"/>
              <w:rPr>
                <w:sz w:val="12"/>
              </w:rPr>
            </w:pPr>
            <w:r>
              <w:rPr>
                <w:sz w:val="12"/>
              </w:rPr>
              <w:t>≤ 75 km/h</w:t>
            </w:r>
          </w:p>
        </w:tc>
        <w:tc>
          <w:tcPr>
            <w:tcW w:w="516" w:type="dxa"/>
          </w:tcPr>
          <w:p>
            <w:pPr>
              <w:pStyle w:val="85"/>
              <w:rPr>
                <w:sz w:val="12"/>
              </w:rPr>
            </w:pPr>
            <w:r>
              <w:rPr>
                <w:sz w:val="12"/>
              </w:rPr>
              <w:t>≤ 50</w:t>
            </w:r>
          </w:p>
        </w:tc>
        <w:tc>
          <w:tcPr>
            <w:tcW w:w="644" w:type="dxa"/>
          </w:tcPr>
          <w:p>
            <w:pPr>
              <w:pStyle w:val="85"/>
              <w:rPr>
                <w:sz w:val="12"/>
              </w:rPr>
            </w:pPr>
            <w:r>
              <w:rPr>
                <w:sz w:val="12"/>
              </w:rPr>
              <w:t>50 m x 10 m x 10 m</w:t>
            </w:r>
          </w:p>
        </w:tc>
        <w:tc>
          <w:tcPr>
            <w:tcW w:w="874" w:type="dxa"/>
          </w:tcPr>
          <w:p>
            <w:pPr>
              <w:pStyle w:val="85"/>
              <w:rPr>
                <w:sz w:val="12"/>
              </w:rPr>
            </w:pPr>
            <w:r>
              <w:rPr>
                <w:sz w:val="12"/>
              </w:rPr>
              <w:t>Motion control (A.2.2.1)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5" w:type="dxa"/>
            <w:shd w:val="clear" w:color="auto" w:fill="auto"/>
          </w:tcPr>
          <w:p>
            <w:pPr>
              <w:pStyle w:val="85"/>
              <w:rPr>
                <w:sz w:val="12"/>
              </w:rPr>
            </w:pPr>
            <w:r>
              <w:rPr>
                <w:sz w:val="12"/>
              </w:rPr>
              <w:t xml:space="preserve">99,9999 % to </w:t>
            </w:r>
            <w:r>
              <w:rPr>
                <w:sz w:val="12"/>
                <w:highlight w:val="green"/>
              </w:rPr>
              <w:t>99,999999</w:t>
            </w:r>
            <w:r>
              <w:rPr>
                <w:sz w:val="12"/>
              </w:rPr>
              <w:t> %</w:t>
            </w:r>
          </w:p>
        </w:tc>
        <w:tc>
          <w:tcPr>
            <w:tcW w:w="1123" w:type="dxa"/>
            <w:shd w:val="clear" w:color="auto" w:fill="auto"/>
          </w:tcPr>
          <w:p>
            <w:pPr>
              <w:pStyle w:val="85"/>
              <w:rPr>
                <w:sz w:val="12"/>
              </w:rPr>
            </w:pPr>
            <w:r>
              <w:rPr>
                <w:sz w:val="12"/>
              </w:rPr>
              <w:t>~ 10 years</w:t>
            </w:r>
          </w:p>
        </w:tc>
        <w:tc>
          <w:tcPr>
            <w:tcW w:w="777" w:type="dxa"/>
            <w:shd w:val="clear" w:color="auto" w:fill="auto"/>
          </w:tcPr>
          <w:p>
            <w:pPr>
              <w:pStyle w:val="85"/>
              <w:rPr>
                <w:sz w:val="12"/>
              </w:rPr>
            </w:pPr>
            <w:r>
              <w:rPr>
                <w:sz w:val="12"/>
                <w:lang w:eastAsia="en-US"/>
              </w:rPr>
              <w:t>&lt; transfer interval value</w:t>
            </w:r>
          </w:p>
        </w:tc>
        <w:tc>
          <w:tcPr>
            <w:tcW w:w="917" w:type="dxa"/>
            <w:shd w:val="clear" w:color="auto" w:fill="auto"/>
          </w:tcPr>
          <w:p>
            <w:pPr>
              <w:pStyle w:val="85"/>
              <w:rPr>
                <w:sz w:val="12"/>
              </w:rPr>
            </w:pPr>
            <w:r>
              <w:rPr>
                <w:sz w:val="12"/>
              </w:rPr>
              <w:t>–</w:t>
            </w:r>
          </w:p>
        </w:tc>
        <w:tc>
          <w:tcPr>
            <w:tcW w:w="723" w:type="dxa"/>
            <w:shd w:val="clear" w:color="auto" w:fill="auto"/>
          </w:tcPr>
          <w:p>
            <w:pPr>
              <w:pStyle w:val="85"/>
              <w:rPr>
                <w:sz w:val="12"/>
              </w:rPr>
            </w:pPr>
            <w:r>
              <w:rPr>
                <w:color w:val="000000"/>
                <w:sz w:val="12"/>
                <w:lang w:eastAsia="en-US"/>
              </w:rPr>
              <w:t>20</w:t>
            </w:r>
          </w:p>
        </w:tc>
        <w:tc>
          <w:tcPr>
            <w:tcW w:w="697" w:type="dxa"/>
          </w:tcPr>
          <w:p>
            <w:pPr>
              <w:pStyle w:val="85"/>
              <w:rPr>
                <w:sz w:val="12"/>
              </w:rPr>
            </w:pPr>
            <w:r>
              <w:rPr>
                <w:sz w:val="12"/>
                <w:highlight w:val="green"/>
              </w:rPr>
              <w:t>2 ms</w:t>
            </w:r>
            <w:r>
              <w:rPr>
                <w:sz w:val="12"/>
              </w:rPr>
              <w:t xml:space="preserve"> </w:t>
            </w:r>
          </w:p>
        </w:tc>
        <w:tc>
          <w:tcPr>
            <w:tcW w:w="683" w:type="dxa"/>
          </w:tcPr>
          <w:p>
            <w:pPr>
              <w:pStyle w:val="85"/>
              <w:rPr>
                <w:sz w:val="12"/>
              </w:rPr>
            </w:pPr>
            <w:r>
              <w:rPr>
                <w:sz w:val="12"/>
              </w:rPr>
              <w:t>2 ms</w:t>
            </w:r>
          </w:p>
        </w:tc>
        <w:tc>
          <w:tcPr>
            <w:tcW w:w="643" w:type="dxa"/>
          </w:tcPr>
          <w:p>
            <w:pPr>
              <w:pStyle w:val="85"/>
              <w:rPr>
                <w:sz w:val="12"/>
              </w:rPr>
            </w:pPr>
            <w:r>
              <w:rPr>
                <w:sz w:val="12"/>
              </w:rPr>
              <w:t>≤ 75 km/h</w:t>
            </w:r>
          </w:p>
        </w:tc>
        <w:tc>
          <w:tcPr>
            <w:tcW w:w="516" w:type="dxa"/>
          </w:tcPr>
          <w:p>
            <w:pPr>
              <w:pStyle w:val="85"/>
              <w:rPr>
                <w:sz w:val="12"/>
              </w:rPr>
            </w:pPr>
            <w:r>
              <w:rPr>
                <w:sz w:val="12"/>
              </w:rPr>
              <w:t>≤ 100</w:t>
            </w:r>
          </w:p>
        </w:tc>
        <w:tc>
          <w:tcPr>
            <w:tcW w:w="644" w:type="dxa"/>
          </w:tcPr>
          <w:p>
            <w:pPr>
              <w:pStyle w:val="85"/>
              <w:rPr>
                <w:sz w:val="12"/>
              </w:rPr>
            </w:pPr>
            <w:r>
              <w:rPr>
                <w:sz w:val="12"/>
              </w:rPr>
              <w:t>50 m x 10 m x 10 m</w:t>
            </w:r>
          </w:p>
        </w:tc>
        <w:tc>
          <w:tcPr>
            <w:tcW w:w="874" w:type="dxa"/>
          </w:tcPr>
          <w:p>
            <w:pPr>
              <w:pStyle w:val="85"/>
              <w:rPr>
                <w:sz w:val="12"/>
              </w:rPr>
            </w:pPr>
            <w:r>
              <w:rPr>
                <w:sz w:val="12"/>
              </w:rPr>
              <w:t>Motion control (A.2.2.1)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5" w:type="dxa"/>
            <w:shd w:val="clear" w:color="auto" w:fill="auto"/>
          </w:tcPr>
          <w:p>
            <w:pPr>
              <w:pStyle w:val="85"/>
              <w:rPr>
                <w:sz w:val="12"/>
              </w:rPr>
            </w:pPr>
            <w:r>
              <w:rPr>
                <w:sz w:val="12"/>
              </w:rPr>
              <w:t xml:space="preserve">99,9999 % to </w:t>
            </w:r>
            <w:r>
              <w:rPr>
                <w:sz w:val="12"/>
                <w:highlight w:val="green"/>
              </w:rPr>
              <w:t>99,999999</w:t>
            </w:r>
            <w:r>
              <w:rPr>
                <w:sz w:val="12"/>
              </w:rPr>
              <w:t> %</w:t>
            </w:r>
          </w:p>
        </w:tc>
        <w:tc>
          <w:tcPr>
            <w:tcW w:w="1123" w:type="dxa"/>
            <w:shd w:val="clear" w:color="auto" w:fill="auto"/>
          </w:tcPr>
          <w:p>
            <w:pPr>
              <w:pStyle w:val="85"/>
              <w:rPr>
                <w:sz w:val="12"/>
              </w:rPr>
            </w:pPr>
            <w:r>
              <w:rPr>
                <w:sz w:val="12"/>
              </w:rPr>
              <w:t>~ 10 years</w:t>
            </w:r>
          </w:p>
        </w:tc>
        <w:tc>
          <w:tcPr>
            <w:tcW w:w="777" w:type="dxa"/>
            <w:shd w:val="clear" w:color="auto" w:fill="auto"/>
          </w:tcPr>
          <w:p>
            <w:pPr>
              <w:pStyle w:val="85"/>
              <w:rPr>
                <w:sz w:val="12"/>
                <w:lang w:eastAsia="en-US"/>
              </w:rPr>
            </w:pPr>
            <w:r>
              <w:rPr>
                <w:sz w:val="12"/>
                <w:lang w:eastAsia="en-US"/>
              </w:rPr>
              <w:t>&lt; transfer interval value</w:t>
            </w:r>
          </w:p>
        </w:tc>
        <w:tc>
          <w:tcPr>
            <w:tcW w:w="917" w:type="dxa"/>
            <w:shd w:val="clear" w:color="auto" w:fill="auto"/>
          </w:tcPr>
          <w:p>
            <w:pPr>
              <w:pStyle w:val="85"/>
              <w:rPr>
                <w:sz w:val="12"/>
              </w:rPr>
            </w:pPr>
          </w:p>
        </w:tc>
        <w:tc>
          <w:tcPr>
            <w:tcW w:w="723" w:type="dxa"/>
            <w:shd w:val="clear" w:color="auto" w:fill="auto"/>
          </w:tcPr>
          <w:p>
            <w:pPr>
              <w:pStyle w:val="85"/>
              <w:rPr>
                <w:color w:val="000000"/>
                <w:sz w:val="12"/>
                <w:lang w:eastAsia="en-US"/>
              </w:rPr>
            </w:pPr>
            <w:r>
              <w:rPr>
                <w:sz w:val="12"/>
              </w:rPr>
              <w:t>1 k</w:t>
            </w:r>
          </w:p>
        </w:tc>
        <w:tc>
          <w:tcPr>
            <w:tcW w:w="697" w:type="dxa"/>
          </w:tcPr>
          <w:p>
            <w:pPr>
              <w:pStyle w:val="85"/>
              <w:rPr>
                <w:sz w:val="12"/>
              </w:rPr>
            </w:pPr>
            <w:r>
              <w:rPr>
                <w:sz w:val="12"/>
                <w:highlight w:val="green"/>
              </w:rPr>
              <w:t>≤ 10 ms</w:t>
            </w:r>
          </w:p>
        </w:tc>
        <w:tc>
          <w:tcPr>
            <w:tcW w:w="683" w:type="dxa"/>
          </w:tcPr>
          <w:p>
            <w:pPr>
              <w:pStyle w:val="85"/>
              <w:rPr>
                <w:sz w:val="12"/>
              </w:rPr>
            </w:pPr>
            <w:r>
              <w:rPr>
                <w:sz w:val="12"/>
              </w:rPr>
              <w:t>10 ms</w:t>
            </w:r>
          </w:p>
        </w:tc>
        <w:tc>
          <w:tcPr>
            <w:tcW w:w="643" w:type="dxa"/>
          </w:tcPr>
          <w:p>
            <w:pPr>
              <w:pStyle w:val="85"/>
              <w:rPr>
                <w:sz w:val="12"/>
              </w:rPr>
            </w:pPr>
            <w:r>
              <w:rPr>
                <w:sz w:val="12"/>
              </w:rPr>
              <w:t>-</w:t>
            </w:r>
          </w:p>
        </w:tc>
        <w:tc>
          <w:tcPr>
            <w:tcW w:w="516" w:type="dxa"/>
          </w:tcPr>
          <w:p>
            <w:pPr>
              <w:pStyle w:val="85"/>
              <w:rPr>
                <w:sz w:val="12"/>
              </w:rPr>
            </w:pPr>
            <w:r>
              <w:rPr>
                <w:sz w:val="12"/>
              </w:rPr>
              <w:t>5 to 10</w:t>
            </w:r>
          </w:p>
        </w:tc>
        <w:tc>
          <w:tcPr>
            <w:tcW w:w="644" w:type="dxa"/>
          </w:tcPr>
          <w:p>
            <w:pPr>
              <w:pStyle w:val="85"/>
              <w:rPr>
                <w:sz w:val="12"/>
              </w:rPr>
            </w:pPr>
            <w:r>
              <w:rPr>
                <w:sz w:val="12"/>
              </w:rPr>
              <w:t>100 m x 30 m x 10 m</w:t>
            </w:r>
          </w:p>
        </w:tc>
        <w:tc>
          <w:tcPr>
            <w:tcW w:w="874" w:type="dxa"/>
          </w:tcPr>
          <w:p>
            <w:pPr>
              <w:pStyle w:val="85"/>
              <w:rPr>
                <w:sz w:val="12"/>
              </w:rPr>
            </w:pPr>
            <w:r>
              <w:rPr>
                <w:sz w:val="12"/>
              </w:rPr>
              <w:t>Control-to-control in motion control (A.2.2.2)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522" w:type="dxa"/>
            <w:gridSpan w:val="11"/>
          </w:tcPr>
          <w:p>
            <w:pPr>
              <w:pStyle w:val="93"/>
              <w:rPr>
                <w:sz w:val="12"/>
              </w:rPr>
            </w:pPr>
            <w:r>
              <w:rPr>
                <w:sz w:val="12"/>
              </w:rPr>
              <w:t>NOTE 1:</w:t>
            </w:r>
            <w:r>
              <w:rPr>
                <w:sz w:val="12"/>
              </w:rPr>
              <w:tab/>
            </w:r>
            <w:r>
              <w:rPr>
                <w:sz w:val="12"/>
              </w:rPr>
              <w:t>One or more retransmissions of network layer packets may take place in order to satisfy the communication service availability requirement.</w:t>
            </w:r>
          </w:p>
          <w:p>
            <w:pPr>
              <w:pStyle w:val="93"/>
              <w:rPr>
                <w:sz w:val="12"/>
              </w:rPr>
            </w:pPr>
            <w:r>
              <w:rPr>
                <w:sz w:val="12"/>
              </w:rPr>
              <w:t>NOTE 2:</w:t>
            </w:r>
            <w:r>
              <w:rPr>
                <w:sz w:val="12"/>
              </w:rPr>
              <w:tab/>
            </w:r>
            <w:r>
              <w:rPr>
                <w:sz w:val="12"/>
              </w:rPr>
              <w:t>Unless otherwise specified, all communication includes 1 wireless link (UE to network node or network node to UE) rather than two wireless links (UE to UE).</w:t>
            </w:r>
          </w:p>
          <w:p>
            <w:pPr>
              <w:pStyle w:val="93"/>
              <w:rPr>
                <w:sz w:val="12"/>
              </w:rPr>
            </w:pPr>
            <w:r>
              <w:rPr>
                <w:sz w:val="12"/>
              </w:rPr>
              <w:t>NOTE 3:</w:t>
            </w:r>
            <w:r>
              <w:rPr>
                <w:sz w:val="12"/>
              </w:rPr>
              <w:tab/>
            </w:r>
            <w:r>
              <w:rPr>
                <w:sz w:val="12"/>
              </w:rPr>
              <w:t>Length x width (x height).</w:t>
            </w:r>
          </w:p>
        </w:tc>
      </w:tr>
    </w:tbl>
    <w:p>
      <w:pPr>
        <w:pStyle w:val="3"/>
        <w:rPr>
          <w:rFonts w:eastAsiaTheme="minorEastAsia"/>
          <w:lang w:eastAsia="zh-CN"/>
        </w:rPr>
      </w:pPr>
    </w:p>
    <w:p>
      <w:pPr>
        <w:pStyle w:val="3"/>
        <w:rPr>
          <w:rFonts w:eastAsiaTheme="minorEastAsia"/>
          <w:b/>
          <w:lang w:eastAsia="zh-CN"/>
        </w:rPr>
      </w:pPr>
      <w:r>
        <w:rPr>
          <w:rFonts w:eastAsiaTheme="minorEastAsia"/>
          <w:b/>
          <w:lang w:eastAsia="zh-CN"/>
        </w:rPr>
        <w:t>Observation 3: The LCH priority is not sufficient to differentiate – alone – the several URLLC LCHs co-existing in a 5GS bridge.</w:t>
      </w:r>
    </w:p>
    <w:p>
      <w:pPr>
        <w:pStyle w:val="3"/>
        <w:rPr>
          <w:rFonts w:eastAsiaTheme="minorEastAsia"/>
          <w:lang w:eastAsia="zh-CN"/>
        </w:rPr>
      </w:pPr>
      <w:r>
        <w:rPr>
          <w:rFonts w:eastAsiaTheme="minorEastAsia"/>
          <w:lang w:eastAsia="zh-CN"/>
        </w:rPr>
        <w:t>Besides, it should be noted that in Rel-15 (see below extract from TS38.321</w:t>
      </w:r>
      <w:r>
        <w:rPr>
          <w:rFonts w:eastAsiaTheme="minorEastAsia"/>
          <w:lang w:eastAsia="zh-CN"/>
        </w:rPr>
        <w:fldChar w:fldCharType="begin"/>
      </w:r>
      <w:r>
        <w:rPr>
          <w:rFonts w:eastAsiaTheme="minorEastAsia"/>
          <w:lang w:eastAsia="zh-CN"/>
        </w:rPr>
        <w:instrText xml:space="preserve"> REF _Ref7708714 \n \h </w:instrText>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it is already the case that an SR is only triggered if an upcoming PUSCH does not meet the LCP mapping restrictions configured for the logical channel that triggered the BSR, independently of any priority consideration.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rPr>
                <w:sz w:val="18"/>
                <w:lang w:eastAsia="ko-KR"/>
              </w:rPr>
            </w:pPr>
            <w:r>
              <w:rPr>
                <w:sz w:val="18"/>
                <w:lang w:eastAsia="ko-KR"/>
              </w:rPr>
              <w:t>The MAC entity shall:</w:t>
            </w:r>
          </w:p>
          <w:p>
            <w:pPr>
              <w:pStyle w:val="53"/>
              <w:rPr>
                <w:sz w:val="18"/>
              </w:rPr>
            </w:pPr>
            <w:r>
              <w:rPr>
                <w:sz w:val="18"/>
                <w:lang w:eastAsia="ko-KR"/>
              </w:rPr>
              <w:t>1&gt;</w:t>
            </w:r>
            <w:r>
              <w:rPr>
                <w:sz w:val="18"/>
                <w:lang w:eastAsia="ko-KR"/>
              </w:rPr>
              <w:tab/>
            </w:r>
            <w:r>
              <w:rPr>
                <w:sz w:val="18"/>
                <w:lang w:eastAsia="ko-KR"/>
              </w:rPr>
              <w:t>i</w:t>
            </w:r>
            <w:r>
              <w:rPr>
                <w:sz w:val="18"/>
              </w:rPr>
              <w:t>f the Buffer Status reporting procedure determines that at least one BSR has been triggered and not cancelled:</w:t>
            </w:r>
          </w:p>
          <w:p>
            <w:pPr>
              <w:pStyle w:val="54"/>
              <w:rPr>
                <w:sz w:val="18"/>
              </w:rPr>
            </w:pPr>
            <w:r>
              <w:rPr>
                <w:sz w:val="18"/>
                <w:lang w:eastAsia="ko-KR"/>
              </w:rPr>
              <w:t>2&gt;</w:t>
            </w:r>
            <w:r>
              <w:rPr>
                <w:sz w:val="18"/>
              </w:rPr>
              <w:tab/>
            </w:r>
            <w:r>
              <w:rPr>
                <w:sz w:val="18"/>
              </w:rPr>
              <w:t xml:space="preserve">if UL-SCH resources are available for a </w:t>
            </w:r>
            <w:r>
              <w:rPr>
                <w:sz w:val="18"/>
                <w:lang w:eastAsia="ko-KR"/>
              </w:rPr>
              <w:t xml:space="preserve">new </w:t>
            </w:r>
            <w:r>
              <w:rPr>
                <w:sz w:val="18"/>
              </w:rPr>
              <w:t>transmission and the UL-SCH resources can accommodate the BSR MAC CE plus its subheader as a result of logical channel prioritization:</w:t>
            </w:r>
          </w:p>
          <w:p>
            <w:pPr>
              <w:pStyle w:val="55"/>
              <w:rPr>
                <w:sz w:val="18"/>
              </w:rPr>
            </w:pPr>
            <w:r>
              <w:rPr>
                <w:sz w:val="18"/>
                <w:lang w:eastAsia="ko-KR"/>
              </w:rPr>
              <w:t>3&gt;</w:t>
            </w:r>
            <w:r>
              <w:rPr>
                <w:sz w:val="18"/>
              </w:rPr>
              <w:tab/>
            </w:r>
            <w:r>
              <w:rPr>
                <w:sz w:val="18"/>
              </w:rPr>
              <w:t xml:space="preserve">instruct the Multiplexing and Assembly procedure to generate the BSR MAC </w:t>
            </w:r>
            <w:r>
              <w:rPr>
                <w:sz w:val="18"/>
                <w:lang w:eastAsia="ko-KR"/>
              </w:rPr>
              <w:t>CE(s)</w:t>
            </w:r>
            <w:r>
              <w:rPr>
                <w:sz w:val="18"/>
              </w:rPr>
              <w:t>;</w:t>
            </w:r>
          </w:p>
          <w:p>
            <w:pPr>
              <w:pStyle w:val="55"/>
              <w:rPr>
                <w:sz w:val="18"/>
              </w:rPr>
            </w:pPr>
            <w:r>
              <w:rPr>
                <w:sz w:val="18"/>
                <w:lang w:eastAsia="ko-KR"/>
              </w:rPr>
              <w:t>3&gt;</w:t>
            </w:r>
            <w:r>
              <w:rPr>
                <w:sz w:val="18"/>
              </w:rPr>
              <w:tab/>
            </w:r>
            <w:r>
              <w:rPr>
                <w:sz w:val="18"/>
              </w:rPr>
              <w:t xml:space="preserve">start or restart </w:t>
            </w:r>
            <w:r>
              <w:rPr>
                <w:i/>
                <w:sz w:val="18"/>
              </w:rPr>
              <w:t>periodicBSR-Timer</w:t>
            </w:r>
            <w:r>
              <w:rPr>
                <w:sz w:val="18"/>
                <w:lang w:eastAsia="ko-KR"/>
              </w:rPr>
              <w:t xml:space="preserve"> except when all the generated BSRs are long or short Truncated BSRs</w:t>
            </w:r>
            <w:r>
              <w:rPr>
                <w:sz w:val="18"/>
              </w:rPr>
              <w:t>;</w:t>
            </w:r>
          </w:p>
          <w:p>
            <w:pPr>
              <w:pStyle w:val="55"/>
              <w:rPr>
                <w:sz w:val="18"/>
              </w:rPr>
            </w:pPr>
            <w:r>
              <w:rPr>
                <w:sz w:val="18"/>
                <w:lang w:eastAsia="ko-KR"/>
              </w:rPr>
              <w:t>3&gt;</w:t>
            </w:r>
            <w:r>
              <w:rPr>
                <w:sz w:val="18"/>
              </w:rPr>
              <w:tab/>
            </w:r>
            <w:r>
              <w:rPr>
                <w:sz w:val="18"/>
              </w:rPr>
              <w:t xml:space="preserve">start or restart </w:t>
            </w:r>
            <w:r>
              <w:rPr>
                <w:i/>
                <w:sz w:val="18"/>
              </w:rPr>
              <w:t>retxBSR-Timer</w:t>
            </w:r>
            <w:r>
              <w:rPr>
                <w:sz w:val="18"/>
              </w:rPr>
              <w:t>.</w:t>
            </w:r>
          </w:p>
          <w:p>
            <w:pPr>
              <w:pStyle w:val="54"/>
              <w:rPr>
                <w:sz w:val="18"/>
              </w:rPr>
            </w:pPr>
            <w:r>
              <w:rPr>
                <w:sz w:val="18"/>
              </w:rPr>
              <w:t>2&gt;</w:t>
            </w:r>
            <w:r>
              <w:rPr>
                <w:sz w:val="18"/>
              </w:rPr>
              <w:tab/>
            </w:r>
            <w:r>
              <w:rPr>
                <w:sz w:val="18"/>
              </w:rPr>
              <w:t xml:space="preserve">if a Regular BSR has been triggered and </w:t>
            </w:r>
            <w:r>
              <w:rPr>
                <w:i/>
                <w:sz w:val="18"/>
              </w:rPr>
              <w:t>logicalChannelSR-DelayTimer</w:t>
            </w:r>
            <w:r>
              <w:rPr>
                <w:sz w:val="18"/>
              </w:rPr>
              <w:t xml:space="preserve"> is not running:</w:t>
            </w:r>
          </w:p>
          <w:p>
            <w:pPr>
              <w:pStyle w:val="55"/>
              <w:rPr>
                <w:sz w:val="18"/>
              </w:rPr>
            </w:pPr>
            <w:r>
              <w:rPr>
                <w:sz w:val="18"/>
              </w:rPr>
              <w:t>3&gt;</w:t>
            </w:r>
            <w:r>
              <w:rPr>
                <w:sz w:val="18"/>
              </w:rPr>
              <w:tab/>
            </w:r>
            <w:r>
              <w:rPr>
                <w:sz w:val="18"/>
              </w:rPr>
              <w:t>if there is no UL-SCH resource available for a new transmission; or</w:t>
            </w:r>
          </w:p>
          <w:p>
            <w:pPr>
              <w:pStyle w:val="55"/>
              <w:rPr>
                <w:sz w:val="18"/>
              </w:rPr>
            </w:pPr>
            <w:r>
              <w:rPr>
                <w:sz w:val="18"/>
              </w:rPr>
              <w:t>3&gt;</w:t>
            </w:r>
            <w:r>
              <w:rPr>
                <w:sz w:val="18"/>
              </w:rPr>
              <w:tab/>
            </w:r>
            <w:r>
              <w:rPr>
                <w:sz w:val="18"/>
              </w:rPr>
              <w:t xml:space="preserve">if the MAC entity is configured with configured uplink grant(s) and the Regular BSR was triggered for a logical channel for which </w:t>
            </w:r>
            <w:r>
              <w:rPr>
                <w:i/>
                <w:sz w:val="18"/>
              </w:rPr>
              <w:t>logicalChannelSR-Mask</w:t>
            </w:r>
            <w:r>
              <w:rPr>
                <w:sz w:val="18"/>
              </w:rPr>
              <w:t xml:space="preserve"> is set to </w:t>
            </w:r>
            <w:r>
              <w:rPr>
                <w:i/>
                <w:sz w:val="18"/>
              </w:rPr>
              <w:t>false</w:t>
            </w:r>
            <w:r>
              <w:rPr>
                <w:sz w:val="18"/>
              </w:rPr>
              <w:t>; or</w:t>
            </w:r>
          </w:p>
          <w:p>
            <w:pPr>
              <w:pStyle w:val="55"/>
              <w:rPr>
                <w:sz w:val="18"/>
              </w:rPr>
            </w:pPr>
            <w:r>
              <w:rPr>
                <w:sz w:val="18"/>
              </w:rPr>
              <w:t>3&gt;</w:t>
            </w:r>
            <w:r>
              <w:rPr>
                <w:sz w:val="18"/>
              </w:rPr>
              <w:tab/>
            </w:r>
            <w:r>
              <w:rPr>
                <w:sz w:val="18"/>
                <w:highlight w:val="green"/>
              </w:rPr>
              <w:t xml:space="preserve">if the UL-SCH resources available for a new transmission do not meet the LCP mapping restrictions (see subclause 5.4.3.1) configured for the </w:t>
            </w:r>
            <w:r>
              <w:rPr>
                <w:sz w:val="18"/>
                <w:highlight w:val="green"/>
                <w:lang w:eastAsia="ko-KR"/>
              </w:rPr>
              <w:t>logical channel</w:t>
            </w:r>
            <w:r>
              <w:rPr>
                <w:sz w:val="18"/>
                <w:highlight w:val="green"/>
              </w:rPr>
              <w:t xml:space="preserve"> that triggered the BSR</w:t>
            </w:r>
            <w:r>
              <w:rPr>
                <w:sz w:val="18"/>
              </w:rPr>
              <w:t>:</w:t>
            </w:r>
          </w:p>
          <w:p>
            <w:pPr>
              <w:pStyle w:val="59"/>
              <w:rPr>
                <w:sz w:val="18"/>
              </w:rPr>
            </w:pPr>
            <w:r>
              <w:rPr>
                <w:sz w:val="18"/>
                <w:lang w:eastAsia="ko-KR"/>
              </w:rPr>
              <w:t>4&gt;</w:t>
            </w:r>
            <w:r>
              <w:rPr>
                <w:sz w:val="18"/>
              </w:rPr>
              <w:tab/>
            </w:r>
            <w:r>
              <w:rPr>
                <w:sz w:val="18"/>
                <w:lang w:eastAsia="ko-KR"/>
              </w:rPr>
              <w:t xml:space="preserve">trigger </w:t>
            </w:r>
            <w:r>
              <w:rPr>
                <w:sz w:val="18"/>
              </w:rPr>
              <w:t>a Scheduling Request.</w:t>
            </w:r>
          </w:p>
          <w:p>
            <w:pPr>
              <w:pStyle w:val="51"/>
              <w:rPr>
                <w:sz w:val="18"/>
              </w:rPr>
            </w:pPr>
            <w:r>
              <w:rPr>
                <w:sz w:val="18"/>
              </w:rPr>
              <w:t>NOTE:</w:t>
            </w:r>
            <w:r>
              <w:rPr>
                <w:sz w:val="18"/>
              </w:rPr>
              <w:tab/>
            </w:r>
            <w:r>
              <w:rPr>
                <w:sz w:val="18"/>
              </w:rPr>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pPr>
        <w:pStyle w:val="3"/>
        <w:spacing w:before="120"/>
        <w:rPr>
          <w:rFonts w:eastAsiaTheme="minorEastAsia"/>
          <w:b/>
          <w:lang w:eastAsia="zh-CN"/>
        </w:rPr>
      </w:pPr>
      <w:r>
        <w:rPr>
          <w:rFonts w:eastAsiaTheme="minorEastAsia"/>
          <w:b/>
          <w:lang w:eastAsia="zh-CN"/>
        </w:rPr>
        <w:t>Observation 4: Rel-15 NR condition for SR triggering in presence of PUSCH is based on LCP mapping restrictions, not priorities.</w:t>
      </w:r>
    </w:p>
    <w:p>
      <w:pPr>
        <w:pStyle w:val="3"/>
        <w:rPr>
          <w:rFonts w:eastAsiaTheme="minorEastAsia"/>
          <w:lang w:eastAsia="zh-CN"/>
        </w:rPr>
      </w:pPr>
      <w:r>
        <w:rPr>
          <w:rFonts w:eastAsiaTheme="minorEastAsia"/>
          <w:lang w:eastAsia="zh-CN"/>
        </w:rPr>
        <w:t xml:space="preserve">From the above, we think the case where the </w:t>
      </w:r>
      <w:r>
        <w:t>SR was triggered before the MAC PDU for PUSCH was assembled should be addressed consistently with legacy approach for triggering the SR, which is also better suited for addressing the co-existence of URLLC channels in IIoT. In other words, the PUCCH-SR is prioritized over the PUSCH (Option 2) if the PUSCH resources do not meet the LCP mapping restrictions configured for the logical channel that triggered the BSR/SR. Otherwise, the BSR is embedded in the PUSCH (Option 1).</w:t>
      </w:r>
    </w:p>
    <w:p>
      <w:pPr>
        <w:pStyle w:val="3"/>
        <w:rPr>
          <w:rFonts w:eastAsiaTheme="minorEastAsia"/>
          <w:b/>
          <w:lang w:eastAsia="zh-CN"/>
        </w:rPr>
      </w:pPr>
      <w:r>
        <w:rPr>
          <w:rFonts w:eastAsiaTheme="minorEastAsia"/>
          <w:b/>
          <w:lang w:eastAsia="zh-CN"/>
        </w:rPr>
        <w:t xml:space="preserve">Observation 5: The </w:t>
      </w:r>
      <w:r>
        <w:rPr>
          <w:b/>
        </w:rPr>
        <w:t>legacy condition for triggering the SR, based on LCP mapping restrictions is also better suited for addressing the co-existence of URLLC channels in IIoT than the priority-based solution</w:t>
      </w:r>
      <w:r>
        <w:rPr>
          <w:rFonts w:eastAsiaTheme="minorEastAsia"/>
          <w:b/>
          <w:lang w:eastAsia="zh-CN"/>
        </w:rPr>
        <w:t>.</w:t>
      </w:r>
    </w:p>
    <w:p>
      <w:pPr>
        <w:pStyle w:val="3"/>
        <w:rPr>
          <w:rFonts w:eastAsiaTheme="minorEastAsia"/>
          <w:lang w:eastAsia="zh-CN"/>
        </w:rPr>
      </w:pPr>
      <w:r>
        <w:rPr>
          <w:rFonts w:eastAsiaTheme="minorEastAsia"/>
          <w:lang w:eastAsia="zh-CN"/>
        </w:rPr>
        <w:t>Based on the above discussion we propose:</w:t>
      </w:r>
    </w:p>
    <w:p>
      <w:pPr>
        <w:spacing w:before="120"/>
        <w:jc w:val="both"/>
        <w:rPr>
          <w:b/>
        </w:rPr>
      </w:pPr>
      <w:r>
        <w:rPr>
          <w:b/>
        </w:rPr>
        <w:t xml:space="preserve">Proposal 2: LCP mapping restrictions are used for the SR/PUSCH prioritization rule when the SR was triggered </w:t>
      </w:r>
      <w:r>
        <w:rPr>
          <w:b/>
          <w:i/>
        </w:rPr>
        <w:t>before</w:t>
      </w:r>
      <w:r>
        <w:rPr>
          <w:b/>
        </w:rPr>
        <w:t xml:space="preserve"> the MAC PDU for PUSCH was assembled.</w:t>
      </w:r>
    </w:p>
    <w:p>
      <w:pPr>
        <w:spacing w:before="120"/>
        <w:jc w:val="both"/>
        <w:rPr>
          <w:b/>
        </w:rPr>
      </w:pPr>
      <w:r>
        <w:rPr>
          <w:b/>
        </w:rPr>
        <w:t xml:space="preserve">Proposal 3: When the SR was triggered </w:t>
      </w:r>
      <w:r>
        <w:rPr>
          <w:b/>
          <w:i/>
        </w:rPr>
        <w:t>before</w:t>
      </w:r>
      <w:r>
        <w:rPr>
          <w:b/>
        </w:rPr>
        <w:t xml:space="preserve"> the MAC PDU for PUSCH was assembled,</w:t>
      </w:r>
      <w:r>
        <w:t xml:space="preserve"> </w:t>
      </w:r>
      <w:r>
        <w:rPr>
          <w:b/>
        </w:rPr>
        <w:t>the PUCCH-SR is prioritized over the PUSCH if the PUSCH resources do not meet the LCP mapping restrictions configured for the logical channel that triggered the BSR/SR.</w:t>
      </w:r>
    </w:p>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 xml:space="preserve">discusses </w:t>
      </w:r>
      <w:r>
        <w:rPr>
          <w:rFonts w:hint="eastAsia" w:eastAsiaTheme="minorEastAsia"/>
          <w:lang w:eastAsia="zh-CN"/>
        </w:rPr>
        <w:t>the solutions for resources conflicts between SR and PUSCH</w:t>
      </w:r>
      <w:r>
        <w:rPr>
          <w:rFonts w:eastAsiaTheme="minorEastAsia"/>
          <w:lang w:eastAsia="zh-CN"/>
        </w:rPr>
        <w:t>. The resulting observations and proposals are as follows:</w:t>
      </w:r>
    </w:p>
    <w:p>
      <w:pPr>
        <w:pStyle w:val="3"/>
        <w:rPr>
          <w:rFonts w:eastAsiaTheme="minorEastAsia"/>
          <w:b/>
          <w:lang w:eastAsia="zh-CN"/>
        </w:rPr>
      </w:pPr>
      <w:r>
        <w:rPr>
          <w:rFonts w:eastAsiaTheme="minorEastAsia"/>
          <w:b/>
          <w:lang w:eastAsia="zh-CN"/>
        </w:rPr>
        <w:t xml:space="preserve">Observation 1: In NR, receiving an SR associated to a URLLC channel provides sufficient information to the gNB to quickly react and schedule the UE accordingly. </w:t>
      </w:r>
    </w:p>
    <w:p>
      <w:pPr>
        <w:pStyle w:val="3"/>
        <w:rPr>
          <w:rFonts w:eastAsiaTheme="minorEastAsia"/>
          <w:b/>
          <w:lang w:eastAsia="zh-CN"/>
        </w:rPr>
      </w:pPr>
      <w:r>
        <w:rPr>
          <w:rFonts w:eastAsiaTheme="minorEastAsia"/>
          <w:b/>
          <w:lang w:eastAsia="zh-CN"/>
        </w:rPr>
        <w:t xml:space="preserve">Observation 2: In NR, receiving an SR associated to an eMBB channel is not sufficient for gNB to properly execute e.g. a proportional-fair scheduler, which requires the full picture provided by the BSR. </w:t>
      </w:r>
    </w:p>
    <w:p>
      <w:pPr>
        <w:spacing w:before="120"/>
        <w:jc w:val="both"/>
        <w:rPr>
          <w:b/>
        </w:rPr>
      </w:pPr>
      <w:r>
        <w:rPr>
          <w:b/>
        </w:rPr>
        <w:t xml:space="preserve">Proposal 1: LCH-priority criterion is used for the SR/PUSCH prioritization rule when the SR was triggered </w:t>
      </w:r>
      <w:r>
        <w:rPr>
          <w:b/>
          <w:i/>
        </w:rPr>
        <w:t>after</w:t>
      </w:r>
      <w:r>
        <w:rPr>
          <w:b/>
        </w:rPr>
        <w:t xml:space="preserve"> the MAC PDU for PUSCH was assembled. </w:t>
      </w:r>
    </w:p>
    <w:p>
      <w:pPr>
        <w:pStyle w:val="3"/>
        <w:spacing w:before="120"/>
        <w:rPr>
          <w:rFonts w:eastAsiaTheme="minorEastAsia"/>
          <w:b/>
          <w:lang w:eastAsia="zh-CN"/>
        </w:rPr>
      </w:pPr>
      <w:r>
        <w:rPr>
          <w:rFonts w:eastAsiaTheme="minorEastAsia"/>
          <w:b/>
          <w:lang w:eastAsia="zh-CN"/>
        </w:rPr>
        <w:t>Observation 3: The LCH priority is not sufficient to differentiate – alone – the several URLLC LCHs co-existing in a 5GS bridge.</w:t>
      </w:r>
    </w:p>
    <w:p>
      <w:pPr>
        <w:pStyle w:val="3"/>
        <w:rPr>
          <w:rFonts w:eastAsiaTheme="minorEastAsia"/>
          <w:b/>
          <w:lang w:eastAsia="zh-CN"/>
        </w:rPr>
      </w:pPr>
      <w:r>
        <w:rPr>
          <w:rFonts w:eastAsiaTheme="minorEastAsia"/>
          <w:b/>
          <w:lang w:eastAsia="zh-CN"/>
        </w:rPr>
        <w:t>Observation 4: Rel-15 NR condition for SR triggering in presence of PUSCH is based on LCP mapping restrictions, not priorities.</w:t>
      </w:r>
    </w:p>
    <w:p>
      <w:pPr>
        <w:pStyle w:val="3"/>
        <w:rPr>
          <w:rFonts w:eastAsiaTheme="minorEastAsia"/>
          <w:b/>
          <w:lang w:eastAsia="zh-CN"/>
        </w:rPr>
      </w:pPr>
      <w:r>
        <w:rPr>
          <w:rFonts w:eastAsiaTheme="minorEastAsia"/>
          <w:b/>
          <w:lang w:eastAsia="zh-CN"/>
        </w:rPr>
        <w:t xml:space="preserve">Observation 5: The </w:t>
      </w:r>
      <w:r>
        <w:rPr>
          <w:b/>
        </w:rPr>
        <w:t>legacy condition for triggering the SR, based on LCP mapping restrictions is also better suited for addressing the co-existence of URLLC channels in IIoT than the priority-based solution</w:t>
      </w:r>
      <w:r>
        <w:rPr>
          <w:rFonts w:eastAsiaTheme="minorEastAsia"/>
          <w:b/>
          <w:lang w:eastAsia="zh-CN"/>
        </w:rPr>
        <w:t>.</w:t>
      </w:r>
    </w:p>
    <w:p>
      <w:pPr>
        <w:spacing w:before="120"/>
        <w:jc w:val="both"/>
        <w:rPr>
          <w:b/>
        </w:rPr>
      </w:pPr>
      <w:r>
        <w:rPr>
          <w:b/>
        </w:rPr>
        <w:t xml:space="preserve">Proposal 2: LCP mapping restrictions are used for the SR/PUSCH prioritization rule when the SR was triggered </w:t>
      </w:r>
      <w:r>
        <w:rPr>
          <w:b/>
          <w:i/>
        </w:rPr>
        <w:t>before</w:t>
      </w:r>
      <w:r>
        <w:rPr>
          <w:b/>
        </w:rPr>
        <w:t xml:space="preserve"> the MAC PDU for PUSCH was assembled.</w:t>
      </w:r>
    </w:p>
    <w:p>
      <w:pPr>
        <w:spacing w:before="120"/>
        <w:jc w:val="both"/>
        <w:rPr>
          <w:b/>
        </w:rPr>
      </w:pPr>
      <w:r>
        <w:rPr>
          <w:b/>
        </w:rPr>
        <w:t xml:space="preserve">Proposal 3: When the SR was triggered </w:t>
      </w:r>
      <w:r>
        <w:rPr>
          <w:b/>
          <w:i/>
        </w:rPr>
        <w:t>before</w:t>
      </w:r>
      <w:r>
        <w:rPr>
          <w:b/>
        </w:rPr>
        <w:t xml:space="preserve"> the MAC PDU for PUSCH was assembled,</w:t>
      </w:r>
      <w:r>
        <w:t xml:space="preserve"> </w:t>
      </w:r>
      <w:r>
        <w:rPr>
          <w:b/>
        </w:rPr>
        <w:t>the PUCCH-SR is prioritized over the PUSCH if the PUSCH resources do not meet the LCP mapping restrictions configured for the logical channel that triggered the BSR/SR.</w:t>
      </w:r>
    </w:p>
    <w:p>
      <w:pPr>
        <w:pStyle w:val="2"/>
        <w:jc w:val="both"/>
      </w:pPr>
      <w:r>
        <w:rPr>
          <w:rFonts w:hint="eastAsia"/>
        </w:rPr>
        <w:t>Reference</w:t>
      </w:r>
    </w:p>
    <w:p>
      <w:pPr>
        <w:pStyle w:val="3"/>
        <w:numPr>
          <w:ilvl w:val="0"/>
          <w:numId w:val="9"/>
        </w:numPr>
      </w:pPr>
      <w:bookmarkStart w:id="11" w:name="_Ref859876"/>
      <w:r>
        <w:rPr>
          <w:rFonts w:hint="eastAsia" w:eastAsiaTheme="minorEastAsia"/>
          <w:lang w:eastAsia="zh-CN"/>
        </w:rPr>
        <w:t xml:space="preserve">WID, </w:t>
      </w:r>
      <w:bookmarkEnd w:id="11"/>
      <w:r>
        <w:rPr>
          <w:rFonts w:eastAsiaTheme="minorEastAsia"/>
          <w:lang w:eastAsia="zh-CN"/>
        </w:rPr>
        <w:t>RP-190728</w:t>
      </w:r>
      <w:r>
        <w:rPr>
          <w:rFonts w:hint="eastAsia" w:eastAsiaTheme="minorEastAsia"/>
          <w:lang w:eastAsia="zh-CN"/>
        </w:rPr>
        <w:t xml:space="preserve">, </w:t>
      </w:r>
      <w:r>
        <w:t>New WID: Support of NR Industrial Internet of Things (IoT</w:t>
      </w:r>
      <w:r>
        <w:rPr>
          <w:rFonts w:eastAsiaTheme="minorEastAsia"/>
          <w:lang w:eastAsia="zh-CN"/>
        </w:rPr>
        <w:t>)</w:t>
      </w:r>
      <w:r>
        <w:rPr>
          <w:rFonts w:hint="eastAsia" w:eastAsiaTheme="minorEastAsia"/>
          <w:lang w:eastAsia="zh-CN"/>
        </w:rPr>
        <w:t xml:space="preserve">, </w:t>
      </w:r>
      <w:r>
        <w:rPr>
          <w:rFonts w:eastAsiaTheme="minorEastAsia"/>
          <w:lang w:eastAsia="zh-CN"/>
        </w:rPr>
        <w:t xml:space="preserve">Nokia, Nokia Shanghai </w:t>
      </w:r>
      <w:r>
        <w:t>Bell</w:t>
      </w:r>
      <w:r>
        <w:rPr>
          <w:rFonts w:hint="eastAsia"/>
        </w:rPr>
        <w:t xml:space="preserve">, </w:t>
      </w:r>
      <w:r>
        <w:t>3GPP TSG RAN Meeting #83</w:t>
      </w:r>
      <w:r>
        <w:rPr>
          <w:rFonts w:hint="eastAsia"/>
        </w:rPr>
        <w:t xml:space="preserve">, </w:t>
      </w:r>
      <w:r>
        <w:t>Shenzhen, China, March 18-21, 2019</w:t>
      </w:r>
      <w:r>
        <w:rPr>
          <w:rFonts w:hint="eastAsia" w:eastAsiaTheme="minorEastAsia"/>
          <w:lang w:eastAsia="zh-CN"/>
        </w:rPr>
        <w:t>;</w:t>
      </w:r>
    </w:p>
    <w:p>
      <w:pPr>
        <w:pStyle w:val="3"/>
        <w:numPr>
          <w:ilvl w:val="0"/>
          <w:numId w:val="9"/>
        </w:numPr>
        <w:rPr>
          <w:rFonts w:eastAsiaTheme="minorEastAsia"/>
          <w:lang w:eastAsia="zh-CN"/>
        </w:rPr>
      </w:pPr>
      <w:bookmarkStart w:id="12" w:name="_Ref4157095"/>
      <w:r>
        <w:rPr>
          <w:rFonts w:hint="eastAsia" w:eastAsiaTheme="minorEastAsia"/>
          <w:lang w:eastAsia="zh-CN"/>
        </w:rPr>
        <w:t>38.321, Medium Access Control (MAC) protocol specification, Release 15;</w:t>
      </w:r>
      <w:bookmarkEnd w:id="12"/>
    </w:p>
    <w:p>
      <w:pPr>
        <w:pStyle w:val="3"/>
        <w:numPr>
          <w:ilvl w:val="0"/>
          <w:numId w:val="9"/>
        </w:numPr>
      </w:pPr>
      <w:bookmarkStart w:id="13" w:name="_Ref534616720"/>
      <w:r>
        <w:t>TS 22.104, Service requirements for cyber-physical control applications in vertical domains; Stage 1; Release 16; 3GPP.</w:t>
      </w:r>
      <w:bookmarkEnd w:id="13"/>
    </w:p>
    <w:p>
      <w:pPr>
        <w:pStyle w:val="3"/>
        <w:numPr>
          <w:ilvl w:val="0"/>
          <w:numId w:val="9"/>
        </w:numPr>
        <w:rPr>
          <w:rFonts w:eastAsiaTheme="minorEastAsia"/>
          <w:lang w:eastAsia="zh-CN"/>
        </w:rPr>
      </w:pPr>
      <w:bookmarkStart w:id="14" w:name="_Ref4169474"/>
      <w:r>
        <w:rPr>
          <w:rFonts w:eastAsiaTheme="minorEastAsia"/>
          <w:lang w:eastAsia="zh-CN"/>
        </w:rPr>
        <w:t>TR 38.825 V0.2.0 “</w:t>
      </w:r>
      <w:r>
        <w:t>Study on NR Industrial Internet of Things (IoT); Release 16</w:t>
      </w:r>
      <w:r>
        <w:rPr>
          <w:rFonts w:eastAsiaTheme="minorEastAsia"/>
          <w:lang w:eastAsia="zh-CN"/>
        </w:rPr>
        <w:t>”; 3GPP</w:t>
      </w:r>
      <w:bookmarkEnd w:id="14"/>
    </w:p>
    <w:p>
      <w:pPr>
        <w:pStyle w:val="3"/>
        <w:numPr>
          <w:ilvl w:val="0"/>
          <w:numId w:val="9"/>
        </w:numPr>
        <w:rPr>
          <w:rFonts w:eastAsiaTheme="minorEastAsia"/>
          <w:lang w:eastAsia="zh-CN"/>
        </w:rPr>
      </w:pPr>
      <w:bookmarkStart w:id="15" w:name="_Ref4431791"/>
      <w:bookmarkStart w:id="16" w:name="_Ref7708714"/>
      <w:r>
        <w:rPr>
          <w:rFonts w:eastAsiaTheme="minorEastAsia"/>
          <w:lang w:eastAsia="zh-CN"/>
        </w:rPr>
        <w:t xml:space="preserve">TS 38.321 v15.5.0, </w:t>
      </w:r>
      <w:bookmarkEnd w:id="15"/>
      <w:r>
        <w:rPr>
          <w:rFonts w:eastAsiaTheme="minorEastAsia"/>
          <w:lang w:eastAsia="zh-CN"/>
        </w:rPr>
        <w:t>Medium Access Control (MAC) protocol specification (Release 15); 3GPP</w:t>
      </w:r>
      <w:bookmarkEnd w:id="16"/>
    </w:p>
    <w:p>
      <w:pPr>
        <w:pStyle w:val="3"/>
        <w:numPr>
          <w:ilvl w:val="0"/>
          <w:numId w:val="9"/>
        </w:numPr>
        <w:rPr>
          <w:rFonts w:eastAsiaTheme="minorEastAsia"/>
          <w:lang w:eastAsia="zh-CN"/>
        </w:rPr>
      </w:pPr>
      <w:bookmarkStart w:id="17" w:name="_Ref4444001"/>
      <w:r>
        <w:rPr>
          <w:rFonts w:eastAsiaTheme="minorEastAsia"/>
          <w:lang w:eastAsia="zh-CN"/>
        </w:rPr>
        <w:t>R2-1903147, Addressing the reliability in LCP channel mapping restriction, CATT</w:t>
      </w:r>
      <w:bookmarkEnd w:id="17"/>
    </w:p>
    <w:sectPr>
      <w:headerReference r:id="rId4" w:type="default"/>
      <w:footerReference r:id="rId5" w:type="default"/>
      <w:footerReference r:id="rId6"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6"/>
      <w:tabs>
        <w:tab w:val="left" w:pos="2552"/>
      </w:tabs>
      <w:rPr>
        <w:rFonts w:eastAsia="宋体"/>
        <w:lang w:eastAsia="zh-CN"/>
      </w:rPr>
    </w:pPr>
    <w:r>
      <w:rPr>
        <w:rFonts w:eastAsia="宋体"/>
        <w:lang w:eastAsia="zh-CN"/>
      </w:rPr>
      <w:t>R2-1905746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8"/>
      </w:pPr>
      <w:r>
        <w:rPr>
          <w:rStyle w:val="33"/>
        </w:rPr>
        <w:footnoteRef/>
      </w:r>
      <w:r>
        <w:t xml:space="preserve"> </w:t>
      </w:r>
      <w:r>
        <w:rPr>
          <w:rFonts w:eastAsiaTheme="minorEastAsia"/>
          <w:lang w:val="en-GB" w:eastAsia="zh-CN"/>
        </w:rPr>
        <w:t>Note this also includes the case where the SR was triggered before the processing deadline for assembling the PUSCH but the PUSCH is for a re-transmission.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2F7B4322"/>
    <w:multiLevelType w:val="multilevel"/>
    <w:tmpl w:val="2F7B43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4"/>
      <w:lvlText w:val=""/>
      <w:lvlJc w:val="left"/>
      <w:pPr>
        <w:tabs>
          <w:tab w:val="left" w:pos="992"/>
        </w:tabs>
        <w:ind w:left="992" w:hanging="425"/>
      </w:pPr>
      <w:rPr>
        <w:rFonts w:hint="default" w:ascii="Symbol" w:hAnsi="Symbol"/>
      </w:rPr>
    </w:lvl>
  </w:abstractNum>
  <w:abstractNum w:abstractNumId="4">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1912B1"/>
    <w:multiLevelType w:val="multilevel"/>
    <w:tmpl w:val="5F1912B1"/>
    <w:lvl w:ilvl="0" w:tentative="0">
      <w:start w:val="1"/>
      <w:numFmt w:val="bullet"/>
      <w:pStyle w:val="7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83"/>
      <w:lvlText w:val=""/>
      <w:lvlJc w:val="left"/>
      <w:pPr>
        <w:ind w:left="2160" w:hanging="360"/>
      </w:pPr>
      <w:rPr>
        <w:rFonts w:hint="default" w:ascii="Wingdings" w:hAnsi="Wingdings"/>
      </w:rPr>
    </w:lvl>
    <w:lvl w:ilvl="3" w:tentative="0">
      <w:start w:val="1"/>
      <w:numFmt w:val="bullet"/>
      <w:pStyle w:val="8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8">
    <w:nsid w:val="7F547DFD"/>
    <w:multiLevelType w:val="singleLevel"/>
    <w:tmpl w:val="7F547DFD"/>
    <w:lvl w:ilvl="0" w:tentative="0">
      <w:start w:val="1"/>
      <w:numFmt w:val="bullet"/>
      <w:pStyle w:val="71"/>
      <w:lvlText w:val=""/>
      <w:lvlJc w:val="left"/>
      <w:pPr>
        <w:tabs>
          <w:tab w:val="left" w:pos="1418"/>
        </w:tabs>
        <w:ind w:left="1418" w:hanging="426"/>
      </w:pPr>
      <w:rPr>
        <w:rFonts w:hint="default" w:ascii="Wingdings" w:hAnsi="Wingdings"/>
      </w:rPr>
    </w:lvl>
  </w:abstractNum>
  <w:num w:numId="1">
    <w:abstractNumId w:val="7"/>
  </w:num>
  <w:num w:numId="2">
    <w:abstractNumId w:val="6"/>
  </w:num>
  <w:num w:numId="3">
    <w:abstractNumId w:val="3"/>
  </w:num>
  <w:num w:numId="4">
    <w:abstractNumId w:val="2"/>
  </w:num>
  <w:num w:numId="5">
    <w:abstractNumId w:val="8"/>
  </w:num>
  <w:num w:numId="6">
    <w:abstractNumId w:val="5"/>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BFC"/>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023"/>
    <w:rsid w:val="00030554"/>
    <w:rsid w:val="00030588"/>
    <w:rsid w:val="000316E5"/>
    <w:rsid w:val="000325C4"/>
    <w:rsid w:val="00032F8D"/>
    <w:rsid w:val="00033094"/>
    <w:rsid w:val="00034294"/>
    <w:rsid w:val="00034619"/>
    <w:rsid w:val="00034856"/>
    <w:rsid w:val="00036189"/>
    <w:rsid w:val="00036A14"/>
    <w:rsid w:val="0003738C"/>
    <w:rsid w:val="00037830"/>
    <w:rsid w:val="00037EC4"/>
    <w:rsid w:val="0004005F"/>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816"/>
    <w:rsid w:val="00054FB6"/>
    <w:rsid w:val="00055E49"/>
    <w:rsid w:val="00057361"/>
    <w:rsid w:val="000575A9"/>
    <w:rsid w:val="00057B7E"/>
    <w:rsid w:val="000604E8"/>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0E77"/>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0AB1"/>
    <w:rsid w:val="000C21E2"/>
    <w:rsid w:val="000C2908"/>
    <w:rsid w:val="000C30BA"/>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56C"/>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822"/>
    <w:rsid w:val="00103918"/>
    <w:rsid w:val="00103DD7"/>
    <w:rsid w:val="001042BF"/>
    <w:rsid w:val="0010479A"/>
    <w:rsid w:val="00105570"/>
    <w:rsid w:val="001058DC"/>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111"/>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2D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31"/>
    <w:rsid w:val="001469E3"/>
    <w:rsid w:val="00147738"/>
    <w:rsid w:val="001509C6"/>
    <w:rsid w:val="00150EBC"/>
    <w:rsid w:val="00152604"/>
    <w:rsid w:val="00153A30"/>
    <w:rsid w:val="00153ADA"/>
    <w:rsid w:val="00153D16"/>
    <w:rsid w:val="001549F5"/>
    <w:rsid w:val="001550CC"/>
    <w:rsid w:val="00156E6E"/>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1A7D"/>
    <w:rsid w:val="00222B2F"/>
    <w:rsid w:val="00223E82"/>
    <w:rsid w:val="0022409D"/>
    <w:rsid w:val="002242FF"/>
    <w:rsid w:val="002243A8"/>
    <w:rsid w:val="00225162"/>
    <w:rsid w:val="002270A2"/>
    <w:rsid w:val="00227D1D"/>
    <w:rsid w:val="0023043A"/>
    <w:rsid w:val="00231E3A"/>
    <w:rsid w:val="002328ED"/>
    <w:rsid w:val="00232A82"/>
    <w:rsid w:val="00233084"/>
    <w:rsid w:val="00233C8E"/>
    <w:rsid w:val="00234DB0"/>
    <w:rsid w:val="002350B0"/>
    <w:rsid w:val="002362AC"/>
    <w:rsid w:val="00237271"/>
    <w:rsid w:val="00237DC5"/>
    <w:rsid w:val="0024043B"/>
    <w:rsid w:val="00240C4B"/>
    <w:rsid w:val="0024144A"/>
    <w:rsid w:val="00241C61"/>
    <w:rsid w:val="002427C9"/>
    <w:rsid w:val="00242895"/>
    <w:rsid w:val="00242B38"/>
    <w:rsid w:val="00242C64"/>
    <w:rsid w:val="00243CBC"/>
    <w:rsid w:val="0024432B"/>
    <w:rsid w:val="002445AD"/>
    <w:rsid w:val="002445EA"/>
    <w:rsid w:val="00245573"/>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A94"/>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6C8E"/>
    <w:rsid w:val="00297474"/>
    <w:rsid w:val="00297960"/>
    <w:rsid w:val="00297974"/>
    <w:rsid w:val="002A02F1"/>
    <w:rsid w:val="002A1CAD"/>
    <w:rsid w:val="002A369D"/>
    <w:rsid w:val="002A50CB"/>
    <w:rsid w:val="002A5580"/>
    <w:rsid w:val="002A586A"/>
    <w:rsid w:val="002A5C7B"/>
    <w:rsid w:val="002A6AC0"/>
    <w:rsid w:val="002A6EA3"/>
    <w:rsid w:val="002A700D"/>
    <w:rsid w:val="002A773B"/>
    <w:rsid w:val="002A7F70"/>
    <w:rsid w:val="002B01A8"/>
    <w:rsid w:val="002B0640"/>
    <w:rsid w:val="002B0CF7"/>
    <w:rsid w:val="002B0DE0"/>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A70"/>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1E89"/>
    <w:rsid w:val="00312265"/>
    <w:rsid w:val="00312E08"/>
    <w:rsid w:val="00313670"/>
    <w:rsid w:val="00315588"/>
    <w:rsid w:val="003161D3"/>
    <w:rsid w:val="003175DE"/>
    <w:rsid w:val="00317847"/>
    <w:rsid w:val="003204BB"/>
    <w:rsid w:val="00320FA6"/>
    <w:rsid w:val="00321175"/>
    <w:rsid w:val="003227E6"/>
    <w:rsid w:val="00323005"/>
    <w:rsid w:val="00323338"/>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2E9"/>
    <w:rsid w:val="00334ECA"/>
    <w:rsid w:val="00335959"/>
    <w:rsid w:val="003378CB"/>
    <w:rsid w:val="00340115"/>
    <w:rsid w:val="00342C65"/>
    <w:rsid w:val="0034301B"/>
    <w:rsid w:val="00343595"/>
    <w:rsid w:val="00343688"/>
    <w:rsid w:val="00344351"/>
    <w:rsid w:val="00344658"/>
    <w:rsid w:val="00345F3E"/>
    <w:rsid w:val="003460C5"/>
    <w:rsid w:val="00346C9B"/>
    <w:rsid w:val="00346CFA"/>
    <w:rsid w:val="00346EBE"/>
    <w:rsid w:val="0034741F"/>
    <w:rsid w:val="00347967"/>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412"/>
    <w:rsid w:val="00373C65"/>
    <w:rsid w:val="00374D33"/>
    <w:rsid w:val="00376BAC"/>
    <w:rsid w:val="0037702A"/>
    <w:rsid w:val="00377DC1"/>
    <w:rsid w:val="00380BE3"/>
    <w:rsid w:val="00381580"/>
    <w:rsid w:val="00381ACD"/>
    <w:rsid w:val="00381FD2"/>
    <w:rsid w:val="0038203E"/>
    <w:rsid w:val="003834A0"/>
    <w:rsid w:val="003838FE"/>
    <w:rsid w:val="00383B67"/>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0513"/>
    <w:rsid w:val="003A11DF"/>
    <w:rsid w:val="003A12B3"/>
    <w:rsid w:val="003A1B34"/>
    <w:rsid w:val="003A23A1"/>
    <w:rsid w:val="003A435A"/>
    <w:rsid w:val="003A5239"/>
    <w:rsid w:val="003A6A56"/>
    <w:rsid w:val="003A72CD"/>
    <w:rsid w:val="003A7426"/>
    <w:rsid w:val="003A77AA"/>
    <w:rsid w:val="003A787B"/>
    <w:rsid w:val="003B066C"/>
    <w:rsid w:val="003B0C87"/>
    <w:rsid w:val="003B0ECD"/>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3928"/>
    <w:rsid w:val="003D4443"/>
    <w:rsid w:val="003D57A6"/>
    <w:rsid w:val="003D7DFC"/>
    <w:rsid w:val="003E09F3"/>
    <w:rsid w:val="003E0B7F"/>
    <w:rsid w:val="003E13D6"/>
    <w:rsid w:val="003E1AA5"/>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8C9"/>
    <w:rsid w:val="00417933"/>
    <w:rsid w:val="00417C84"/>
    <w:rsid w:val="00420CF7"/>
    <w:rsid w:val="0042142C"/>
    <w:rsid w:val="00421A18"/>
    <w:rsid w:val="00421B9D"/>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11D"/>
    <w:rsid w:val="00451613"/>
    <w:rsid w:val="00453F03"/>
    <w:rsid w:val="00453FC7"/>
    <w:rsid w:val="0045512D"/>
    <w:rsid w:val="00456089"/>
    <w:rsid w:val="004561CE"/>
    <w:rsid w:val="00460F60"/>
    <w:rsid w:val="0046182B"/>
    <w:rsid w:val="0046195E"/>
    <w:rsid w:val="00461F33"/>
    <w:rsid w:val="00462591"/>
    <w:rsid w:val="004651AA"/>
    <w:rsid w:val="00465C10"/>
    <w:rsid w:val="00466BB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25F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603"/>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0DFA"/>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B38"/>
    <w:rsid w:val="00561D0B"/>
    <w:rsid w:val="00561EDF"/>
    <w:rsid w:val="00563E43"/>
    <w:rsid w:val="005650E7"/>
    <w:rsid w:val="0057085E"/>
    <w:rsid w:val="00570977"/>
    <w:rsid w:val="00571586"/>
    <w:rsid w:val="0057173A"/>
    <w:rsid w:val="00571DFE"/>
    <w:rsid w:val="00572FFA"/>
    <w:rsid w:val="005732B4"/>
    <w:rsid w:val="005732ED"/>
    <w:rsid w:val="0057340E"/>
    <w:rsid w:val="00573BAE"/>
    <w:rsid w:val="00574193"/>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389E"/>
    <w:rsid w:val="005C48DF"/>
    <w:rsid w:val="005C5ACE"/>
    <w:rsid w:val="005C6358"/>
    <w:rsid w:val="005C714E"/>
    <w:rsid w:val="005C73F0"/>
    <w:rsid w:val="005C760C"/>
    <w:rsid w:val="005C799F"/>
    <w:rsid w:val="005D0607"/>
    <w:rsid w:val="005D0A4A"/>
    <w:rsid w:val="005D1364"/>
    <w:rsid w:val="005D2DC0"/>
    <w:rsid w:val="005D2E1D"/>
    <w:rsid w:val="005D3AB3"/>
    <w:rsid w:val="005D5123"/>
    <w:rsid w:val="005D6DBE"/>
    <w:rsid w:val="005D7412"/>
    <w:rsid w:val="005D7FB7"/>
    <w:rsid w:val="005E216B"/>
    <w:rsid w:val="005E37D7"/>
    <w:rsid w:val="005E3C43"/>
    <w:rsid w:val="005E42B7"/>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394F"/>
    <w:rsid w:val="006241AA"/>
    <w:rsid w:val="00624776"/>
    <w:rsid w:val="0062524D"/>
    <w:rsid w:val="006255F1"/>
    <w:rsid w:val="00626EBA"/>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4C52"/>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51A"/>
    <w:rsid w:val="00693657"/>
    <w:rsid w:val="0069496B"/>
    <w:rsid w:val="00695607"/>
    <w:rsid w:val="0069613F"/>
    <w:rsid w:val="006970B3"/>
    <w:rsid w:val="0069710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C79B0"/>
    <w:rsid w:val="006D0C5F"/>
    <w:rsid w:val="006D0E98"/>
    <w:rsid w:val="006D123E"/>
    <w:rsid w:val="006D17E5"/>
    <w:rsid w:val="006D17F6"/>
    <w:rsid w:val="006D19A8"/>
    <w:rsid w:val="006D1D7B"/>
    <w:rsid w:val="006D20E6"/>
    <w:rsid w:val="006D2C00"/>
    <w:rsid w:val="006D44B4"/>
    <w:rsid w:val="006D4C13"/>
    <w:rsid w:val="006D53BC"/>
    <w:rsid w:val="006D5573"/>
    <w:rsid w:val="006D6286"/>
    <w:rsid w:val="006D6865"/>
    <w:rsid w:val="006D7161"/>
    <w:rsid w:val="006D75D1"/>
    <w:rsid w:val="006D7B37"/>
    <w:rsid w:val="006E0677"/>
    <w:rsid w:val="006E0DC6"/>
    <w:rsid w:val="006E200F"/>
    <w:rsid w:val="006E2A00"/>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2A5"/>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4F5"/>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3554"/>
    <w:rsid w:val="00754837"/>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6F65"/>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01F"/>
    <w:rsid w:val="007E48A8"/>
    <w:rsid w:val="007E57A3"/>
    <w:rsid w:val="007E5DC4"/>
    <w:rsid w:val="007E6345"/>
    <w:rsid w:val="007E6F97"/>
    <w:rsid w:val="007E70E2"/>
    <w:rsid w:val="007E72FB"/>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0F9"/>
    <w:rsid w:val="008305E6"/>
    <w:rsid w:val="00830604"/>
    <w:rsid w:val="00830A57"/>
    <w:rsid w:val="00831168"/>
    <w:rsid w:val="00832269"/>
    <w:rsid w:val="00832EF2"/>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56F"/>
    <w:rsid w:val="00852BD3"/>
    <w:rsid w:val="00854257"/>
    <w:rsid w:val="00854B85"/>
    <w:rsid w:val="00854DDE"/>
    <w:rsid w:val="00855790"/>
    <w:rsid w:val="00855C4D"/>
    <w:rsid w:val="008568C3"/>
    <w:rsid w:val="008573CD"/>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798E"/>
    <w:rsid w:val="008701E4"/>
    <w:rsid w:val="00870DFB"/>
    <w:rsid w:val="00871117"/>
    <w:rsid w:val="00871242"/>
    <w:rsid w:val="00871DA1"/>
    <w:rsid w:val="00872DB0"/>
    <w:rsid w:val="00874FD2"/>
    <w:rsid w:val="0087626E"/>
    <w:rsid w:val="00876F25"/>
    <w:rsid w:val="00877006"/>
    <w:rsid w:val="00880FF4"/>
    <w:rsid w:val="00881091"/>
    <w:rsid w:val="008813CF"/>
    <w:rsid w:val="00882133"/>
    <w:rsid w:val="0088309F"/>
    <w:rsid w:val="00883D3A"/>
    <w:rsid w:val="0088559F"/>
    <w:rsid w:val="00885F6E"/>
    <w:rsid w:val="00886F42"/>
    <w:rsid w:val="00890693"/>
    <w:rsid w:val="00891487"/>
    <w:rsid w:val="00891945"/>
    <w:rsid w:val="00891C62"/>
    <w:rsid w:val="00892515"/>
    <w:rsid w:val="00894F70"/>
    <w:rsid w:val="00895468"/>
    <w:rsid w:val="00895974"/>
    <w:rsid w:val="00896942"/>
    <w:rsid w:val="008970E2"/>
    <w:rsid w:val="00897287"/>
    <w:rsid w:val="00897A83"/>
    <w:rsid w:val="008A0A94"/>
    <w:rsid w:val="008A16FA"/>
    <w:rsid w:val="008A1855"/>
    <w:rsid w:val="008A1FB7"/>
    <w:rsid w:val="008A2349"/>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B7"/>
    <w:rsid w:val="008D09E2"/>
    <w:rsid w:val="008D2269"/>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4C16"/>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76DD"/>
    <w:rsid w:val="0094167A"/>
    <w:rsid w:val="00941AAF"/>
    <w:rsid w:val="009427EC"/>
    <w:rsid w:val="0094285C"/>
    <w:rsid w:val="0094394B"/>
    <w:rsid w:val="00943D59"/>
    <w:rsid w:val="00944C8A"/>
    <w:rsid w:val="00944D6E"/>
    <w:rsid w:val="00945B6E"/>
    <w:rsid w:val="00945B8E"/>
    <w:rsid w:val="009465CB"/>
    <w:rsid w:val="00946E51"/>
    <w:rsid w:val="00947FD7"/>
    <w:rsid w:val="00950CCB"/>
    <w:rsid w:val="0095160F"/>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57EC"/>
    <w:rsid w:val="0096674C"/>
    <w:rsid w:val="00966AB8"/>
    <w:rsid w:val="00967447"/>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E31"/>
    <w:rsid w:val="00984F54"/>
    <w:rsid w:val="0098509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5E"/>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3EF"/>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2C01"/>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6B4E"/>
    <w:rsid w:val="00A5706D"/>
    <w:rsid w:val="00A5749E"/>
    <w:rsid w:val="00A601ED"/>
    <w:rsid w:val="00A617D2"/>
    <w:rsid w:val="00A622EF"/>
    <w:rsid w:val="00A62422"/>
    <w:rsid w:val="00A62C75"/>
    <w:rsid w:val="00A62FF0"/>
    <w:rsid w:val="00A63CCE"/>
    <w:rsid w:val="00A643AE"/>
    <w:rsid w:val="00A648E8"/>
    <w:rsid w:val="00A652DF"/>
    <w:rsid w:val="00A66947"/>
    <w:rsid w:val="00A70F9E"/>
    <w:rsid w:val="00A74F1B"/>
    <w:rsid w:val="00A758E0"/>
    <w:rsid w:val="00A75C41"/>
    <w:rsid w:val="00A75E43"/>
    <w:rsid w:val="00A76DB9"/>
    <w:rsid w:val="00A807EA"/>
    <w:rsid w:val="00A809A6"/>
    <w:rsid w:val="00A80C64"/>
    <w:rsid w:val="00A81749"/>
    <w:rsid w:val="00A81FD2"/>
    <w:rsid w:val="00A82CF6"/>
    <w:rsid w:val="00A83550"/>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E13"/>
    <w:rsid w:val="00AC5046"/>
    <w:rsid w:val="00AC5291"/>
    <w:rsid w:val="00AC55A9"/>
    <w:rsid w:val="00AC587C"/>
    <w:rsid w:val="00AC5A86"/>
    <w:rsid w:val="00AC5DF3"/>
    <w:rsid w:val="00AC6C03"/>
    <w:rsid w:val="00AC7592"/>
    <w:rsid w:val="00AC7AEC"/>
    <w:rsid w:val="00AD02BB"/>
    <w:rsid w:val="00AD0CB4"/>
    <w:rsid w:val="00AD22F8"/>
    <w:rsid w:val="00AD36C5"/>
    <w:rsid w:val="00AD3BBA"/>
    <w:rsid w:val="00AD420C"/>
    <w:rsid w:val="00AD47C5"/>
    <w:rsid w:val="00AD47EA"/>
    <w:rsid w:val="00AD4F53"/>
    <w:rsid w:val="00AD5324"/>
    <w:rsid w:val="00AD5D5A"/>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3B1A"/>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09C6"/>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0B"/>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32F"/>
    <w:rsid w:val="00BE6B8F"/>
    <w:rsid w:val="00BE7E58"/>
    <w:rsid w:val="00BF08A5"/>
    <w:rsid w:val="00BF136D"/>
    <w:rsid w:val="00BF1E6B"/>
    <w:rsid w:val="00BF1FF6"/>
    <w:rsid w:val="00BF2847"/>
    <w:rsid w:val="00BF297D"/>
    <w:rsid w:val="00BF3683"/>
    <w:rsid w:val="00BF37FD"/>
    <w:rsid w:val="00BF3BAC"/>
    <w:rsid w:val="00BF3C64"/>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38A"/>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882"/>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A2A"/>
    <w:rsid w:val="00C86B24"/>
    <w:rsid w:val="00C8701E"/>
    <w:rsid w:val="00C87441"/>
    <w:rsid w:val="00C87E56"/>
    <w:rsid w:val="00C87F6E"/>
    <w:rsid w:val="00C906ED"/>
    <w:rsid w:val="00C9083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479"/>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25BD"/>
    <w:rsid w:val="00CC373D"/>
    <w:rsid w:val="00CC3DE1"/>
    <w:rsid w:val="00CC3ED1"/>
    <w:rsid w:val="00CC4131"/>
    <w:rsid w:val="00CC4F79"/>
    <w:rsid w:val="00CC704D"/>
    <w:rsid w:val="00CD0CFD"/>
    <w:rsid w:val="00CD1E5D"/>
    <w:rsid w:val="00CD1F65"/>
    <w:rsid w:val="00CD26FC"/>
    <w:rsid w:val="00CD510A"/>
    <w:rsid w:val="00CD5C5E"/>
    <w:rsid w:val="00CD70F0"/>
    <w:rsid w:val="00CD7EDC"/>
    <w:rsid w:val="00CE09C9"/>
    <w:rsid w:val="00CE0ED0"/>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5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4F38"/>
    <w:rsid w:val="00D55291"/>
    <w:rsid w:val="00D55331"/>
    <w:rsid w:val="00D559CC"/>
    <w:rsid w:val="00D55BDD"/>
    <w:rsid w:val="00D5644D"/>
    <w:rsid w:val="00D5648F"/>
    <w:rsid w:val="00D569AC"/>
    <w:rsid w:val="00D56D8B"/>
    <w:rsid w:val="00D56DFC"/>
    <w:rsid w:val="00D574C6"/>
    <w:rsid w:val="00D6119E"/>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2A10"/>
    <w:rsid w:val="00DA30AD"/>
    <w:rsid w:val="00DA3155"/>
    <w:rsid w:val="00DA36F0"/>
    <w:rsid w:val="00DA44C7"/>
    <w:rsid w:val="00DA4A1C"/>
    <w:rsid w:val="00DA4A7A"/>
    <w:rsid w:val="00DA60F2"/>
    <w:rsid w:val="00DA6A89"/>
    <w:rsid w:val="00DA7454"/>
    <w:rsid w:val="00DA7733"/>
    <w:rsid w:val="00DA7DD9"/>
    <w:rsid w:val="00DB040A"/>
    <w:rsid w:val="00DB0AA0"/>
    <w:rsid w:val="00DB1C3D"/>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2BEB"/>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EF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B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54A"/>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17C"/>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1B10"/>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6F47"/>
    <w:rsid w:val="00F07638"/>
    <w:rsid w:val="00F07E90"/>
    <w:rsid w:val="00F1138D"/>
    <w:rsid w:val="00F113B2"/>
    <w:rsid w:val="00F1203E"/>
    <w:rsid w:val="00F14C58"/>
    <w:rsid w:val="00F14F57"/>
    <w:rsid w:val="00F1506E"/>
    <w:rsid w:val="00F165A2"/>
    <w:rsid w:val="00F16F8E"/>
    <w:rsid w:val="00F17368"/>
    <w:rsid w:val="00F17BAF"/>
    <w:rsid w:val="00F20C58"/>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36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9A9"/>
    <w:rsid w:val="00F46E2E"/>
    <w:rsid w:val="00F477E4"/>
    <w:rsid w:val="00F51267"/>
    <w:rsid w:val="00F517B4"/>
    <w:rsid w:val="00F52006"/>
    <w:rsid w:val="00F526CF"/>
    <w:rsid w:val="00F53242"/>
    <w:rsid w:val="00F5455C"/>
    <w:rsid w:val="00F5549D"/>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6CC1"/>
    <w:rsid w:val="00F975A5"/>
    <w:rsid w:val="00F97859"/>
    <w:rsid w:val="00FA0311"/>
    <w:rsid w:val="00FA0878"/>
    <w:rsid w:val="00FA1AAE"/>
    <w:rsid w:val="00FA2911"/>
    <w:rsid w:val="00FA3F21"/>
    <w:rsid w:val="00FA43BE"/>
    <w:rsid w:val="00FA45AB"/>
    <w:rsid w:val="00FA47A9"/>
    <w:rsid w:val="00FA5164"/>
    <w:rsid w:val="00FA5189"/>
    <w:rsid w:val="00FA529C"/>
    <w:rsid w:val="00FA5667"/>
    <w:rsid w:val="00FA58A9"/>
    <w:rsid w:val="00FA5D29"/>
    <w:rsid w:val="00FA5F1B"/>
    <w:rsid w:val="00FA772C"/>
    <w:rsid w:val="00FA7B7E"/>
    <w:rsid w:val="00FA7E8C"/>
    <w:rsid w:val="00FB1198"/>
    <w:rsid w:val="00FB224C"/>
    <w:rsid w:val="00FB254C"/>
    <w:rsid w:val="00FB46E0"/>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 w:val="12295324"/>
    <w:rsid w:val="5C21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9"/>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0"/>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7"/>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3"/>
    <w:qFormat/>
    <w:uiPriority w:val="99"/>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0"/>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table of figures"/>
    <w:basedOn w:val="1"/>
    <w:next w:val="1"/>
    <w:qFormat/>
    <w:uiPriority w:val="99"/>
  </w:style>
  <w:style w:type="paragraph" w:styleId="21">
    <w:name w:val="List 4"/>
    <w:basedOn w:val="1"/>
    <w:qFormat/>
    <w:uiPriority w:val="0"/>
    <w:pPr>
      <w:ind w:left="100" w:leftChars="600" w:hanging="200" w:hangingChars="200"/>
      <w:contextualSpacing/>
    </w:p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1"/>
    <w:next w:val="11"/>
    <w:semiHidden/>
    <w:qFormat/>
    <w:uiPriority w:val="0"/>
    <w:rPr>
      <w:b/>
      <w:bCs/>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endnote reference"/>
    <w:basedOn w:val="28"/>
    <w:qFormat/>
    <w:uiPriority w:val="0"/>
    <w:rPr>
      <w:vertAlign w:val="superscript"/>
    </w:rPr>
  </w:style>
  <w:style w:type="character" w:styleId="30">
    <w:name w:val="page number"/>
    <w:basedOn w:val="28"/>
    <w:uiPriority w:val="0"/>
  </w:style>
  <w:style w:type="character" w:styleId="31">
    <w:name w:val="Hyperlink"/>
    <w:basedOn w:val="28"/>
    <w:unhideWhenUsed/>
    <w:uiPriority w:val="99"/>
    <w:rPr>
      <w:color w:val="0000FF"/>
      <w:u w:val="single"/>
    </w:rPr>
  </w:style>
  <w:style w:type="character" w:styleId="32">
    <w:name w:val="annotation reference"/>
    <w:qFormat/>
    <w:uiPriority w:val="0"/>
    <w:rPr>
      <w:sz w:val="21"/>
      <w:szCs w:val="21"/>
    </w:rPr>
  </w:style>
  <w:style w:type="character" w:styleId="33">
    <w:name w:val="footnote reference"/>
    <w:basedOn w:val="28"/>
    <w:qFormat/>
    <w:uiPriority w:val="0"/>
    <w:rPr>
      <w:vertAlign w:val="superscript"/>
    </w:rPr>
  </w:style>
  <w:style w:type="character" w:customStyle="1" w:styleId="34">
    <w:name w:val="Caption Char1"/>
    <w:link w:val="9"/>
    <w:qFormat/>
    <w:uiPriority w:val="0"/>
    <w:rPr>
      <w:lang w:val="en-GB" w:eastAsia="en-US" w:bidi="ar-SA"/>
    </w:rPr>
  </w:style>
  <w:style w:type="paragraph" w:styleId="35">
    <w:name w:val="List Paragraph"/>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Body Text Char"/>
    <w:link w:val="3"/>
    <w:qFormat/>
    <w:uiPriority w:val="0"/>
    <w:rPr>
      <w:rFonts w:eastAsia="MS Mincho"/>
      <w:szCs w:val="24"/>
      <w:lang w:eastAsia="en-US"/>
    </w:rPr>
  </w:style>
  <w:style w:type="character" w:customStyle="1" w:styleId="40">
    <w:name w:val="List Paragraph Char"/>
    <w:link w:val="35"/>
    <w:qFormat/>
    <w:uiPriority w:val="34"/>
    <w:rPr>
      <w:rFonts w:eastAsia="MS Mincho"/>
      <w:lang w:val="en-GB" w:eastAsia="en-US"/>
    </w:rPr>
  </w:style>
  <w:style w:type="character" w:customStyle="1" w:styleId="41">
    <w:name w:val="Body Text Char1"/>
    <w:basedOn w:val="28"/>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Footnote Text Char"/>
    <w:basedOn w:val="28"/>
    <w:link w:val="18"/>
    <w:qFormat/>
    <w:uiPriority w:val="0"/>
    <w:rPr>
      <w:rFonts w:eastAsia="Times New Roman"/>
      <w:lang w:eastAsia="en-US"/>
    </w:rPr>
  </w:style>
  <w:style w:type="character" w:customStyle="1" w:styleId="45">
    <w:name w:val="Endnote Text Char"/>
    <w:basedOn w:val="28"/>
    <w:link w:val="14"/>
    <w:qFormat/>
    <w:uiPriority w:val="0"/>
    <w:rPr>
      <w:rFonts w:eastAsia="Times New Roman"/>
      <w:lang w:eastAsia="en-US"/>
    </w:rPr>
  </w:style>
  <w:style w:type="character" w:customStyle="1" w:styleId="46">
    <w:name w:val="apple-converted-space"/>
    <w:basedOn w:val="28"/>
    <w:qFormat/>
    <w:uiPriority w:val="0"/>
  </w:style>
  <w:style w:type="paragraph" w:customStyle="1" w:styleId="47">
    <w:name w:val="Revision"/>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8"/>
    <w:link w:val="48"/>
    <w:qFormat/>
    <w:uiPriority w:val="0"/>
    <w:rPr>
      <w:rFonts w:ascii="Arial" w:hAnsi="Arial" w:eastAsia="MS Mincho"/>
      <w:b/>
      <w:lang w:val="en-GB" w:eastAsia="en-US"/>
    </w:rPr>
  </w:style>
  <w:style w:type="character" w:customStyle="1" w:styleId="50">
    <w:name w:val="Header Char"/>
    <w:basedOn w:val="28"/>
    <w:link w:val="17"/>
    <w:qFormat/>
    <w:uiPriority w:val="0"/>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B1"/>
    <w:basedOn w:val="13"/>
    <w:link w:val="56"/>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4">
    <w:name w:val="B2"/>
    <w:basedOn w:val="12"/>
    <w:link w:val="5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5">
    <w:name w:val="B3"/>
    <w:basedOn w:val="8"/>
    <w:link w:val="58"/>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6">
    <w:name w:val="B1 Char"/>
    <w:link w:val="53"/>
    <w:qFormat/>
    <w:uiPriority w:val="0"/>
    <w:rPr>
      <w:rFonts w:eastAsiaTheme="minorEastAsia"/>
      <w:lang w:val="en-GB"/>
    </w:rPr>
  </w:style>
  <w:style w:type="character" w:customStyle="1" w:styleId="57">
    <w:name w:val="B2 Char"/>
    <w:link w:val="54"/>
    <w:qFormat/>
    <w:uiPriority w:val="0"/>
    <w:rPr>
      <w:rFonts w:eastAsiaTheme="minorEastAsia"/>
      <w:lang w:val="en-GB"/>
    </w:rPr>
  </w:style>
  <w:style w:type="character" w:customStyle="1" w:styleId="58">
    <w:name w:val="B3 Char"/>
    <w:link w:val="55"/>
    <w:qFormat/>
    <w:uiPriority w:val="0"/>
    <w:rPr>
      <w:rFonts w:eastAsiaTheme="minorEastAsia"/>
      <w:lang w:val="en-GB"/>
    </w:rPr>
  </w:style>
  <w:style w:type="paragraph" w:customStyle="1" w:styleId="59">
    <w:name w:val="B4"/>
    <w:basedOn w:val="21"/>
    <w:link w:val="60"/>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0">
    <w:name w:val="B4 Char"/>
    <w:link w:val="59"/>
    <w:qFormat/>
    <w:uiPriority w:val="0"/>
    <w:rPr>
      <w:rFonts w:eastAsiaTheme="minorEastAsia"/>
      <w:lang w:val="en-GB"/>
    </w:rPr>
  </w:style>
  <w:style w:type="paragraph" w:customStyle="1" w:styleId="61">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2">
    <w:name w:val="Guidance"/>
    <w:basedOn w:val="1"/>
    <w:qFormat/>
    <w:uiPriority w:val="0"/>
    <w:pPr>
      <w:spacing w:after="180"/>
    </w:pPr>
    <w:rPr>
      <w:rFonts w:eastAsia="Malgun Gothic"/>
      <w:i/>
      <w:color w:val="0000FF"/>
      <w:szCs w:val="20"/>
      <w:lang w:val="en-GB"/>
    </w:rPr>
  </w:style>
  <w:style w:type="character" w:customStyle="1" w:styleId="63">
    <w:name w:val="Comment Text Char"/>
    <w:link w:val="11"/>
    <w:qFormat/>
    <w:uiPriority w:val="99"/>
    <w:rPr>
      <w:rFonts w:eastAsia="Times New Roman"/>
      <w:szCs w:val="24"/>
      <w:lang w:eastAsia="en-US"/>
    </w:rPr>
  </w:style>
  <w:style w:type="paragraph" w:customStyle="1" w:styleId="64">
    <w:name w:val="text intend 1"/>
    <w:basedOn w:val="1"/>
    <w:qFormat/>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5">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6">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7">
    <w:name w:val="Heading 5 Char"/>
    <w:basedOn w:val="28"/>
    <w:link w:val="7"/>
    <w:semiHidden/>
    <w:qFormat/>
    <w:uiPriority w:val="0"/>
    <w:rPr>
      <w:rFonts w:eastAsia="Times New Roman"/>
      <w:b/>
      <w:bCs/>
      <w:sz w:val="28"/>
      <w:szCs w:val="28"/>
      <w:lang w:eastAsia="en-US"/>
    </w:rPr>
  </w:style>
  <w:style w:type="character" w:customStyle="1" w:styleId="68">
    <w:name w:val="NO Char"/>
    <w:qFormat/>
    <w:uiPriority w:val="0"/>
    <w:rPr>
      <w:lang w:val="en-GB" w:eastAsia="en-US"/>
    </w:rPr>
  </w:style>
  <w:style w:type="paragraph" w:customStyle="1" w:styleId="69">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0">
    <w:name w:val="B1 Zchn"/>
    <w:qFormat/>
    <w:uiPriority w:val="0"/>
    <w:rPr>
      <w:lang w:eastAsia="en-US"/>
    </w:rPr>
  </w:style>
  <w:style w:type="paragraph" w:customStyle="1" w:styleId="71">
    <w:name w:val="text intend 2"/>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2">
    <w:name w:val="TAH"/>
    <w:basedOn w:val="73"/>
    <w:link w:val="76"/>
    <w:qFormat/>
    <w:uiPriority w:val="0"/>
    <w:rPr>
      <w:b/>
    </w:rPr>
  </w:style>
  <w:style w:type="paragraph" w:customStyle="1" w:styleId="73">
    <w:name w:val="TAC"/>
    <w:basedOn w:val="1"/>
    <w:link w:val="75"/>
    <w:qFormat/>
    <w:uiPriority w:val="0"/>
    <w:pPr>
      <w:keepNext/>
      <w:keepLines/>
      <w:jc w:val="center"/>
    </w:pPr>
    <w:rPr>
      <w:rFonts w:ascii="Arial" w:hAnsi="Arial" w:eastAsia="Malgun Gothic"/>
      <w:sz w:val="18"/>
      <w:szCs w:val="20"/>
      <w:lang w:val="en-GB"/>
    </w:rPr>
  </w:style>
  <w:style w:type="paragraph" w:customStyle="1" w:styleId="74">
    <w:name w:val="TH"/>
    <w:basedOn w:val="1"/>
    <w:link w:val="77"/>
    <w:qFormat/>
    <w:uiPriority w:val="0"/>
    <w:pPr>
      <w:keepNext/>
      <w:keepLines/>
      <w:spacing w:before="60" w:after="180"/>
      <w:jc w:val="center"/>
    </w:pPr>
    <w:rPr>
      <w:rFonts w:ascii="Arial" w:hAnsi="Arial" w:eastAsia="Malgun Gothic"/>
      <w:b/>
      <w:szCs w:val="20"/>
      <w:lang w:val="en-GB"/>
    </w:rPr>
  </w:style>
  <w:style w:type="character" w:customStyle="1" w:styleId="75">
    <w:name w:val="TAC Char"/>
    <w:link w:val="73"/>
    <w:qFormat/>
    <w:uiPriority w:val="0"/>
    <w:rPr>
      <w:rFonts w:ascii="Arial" w:hAnsi="Arial" w:eastAsia="Malgun Gothic"/>
      <w:sz w:val="18"/>
      <w:lang w:val="en-GB" w:eastAsia="en-US"/>
    </w:rPr>
  </w:style>
  <w:style w:type="character" w:customStyle="1" w:styleId="76">
    <w:name w:val="TAH Car"/>
    <w:link w:val="72"/>
    <w:qFormat/>
    <w:uiPriority w:val="0"/>
    <w:rPr>
      <w:rFonts w:ascii="Arial" w:hAnsi="Arial" w:eastAsia="Malgun Gothic"/>
      <w:b/>
      <w:sz w:val="18"/>
      <w:lang w:val="en-GB" w:eastAsia="en-US"/>
    </w:rPr>
  </w:style>
  <w:style w:type="character" w:customStyle="1" w:styleId="77">
    <w:name w:val="TH Char"/>
    <w:link w:val="74"/>
    <w:qFormat/>
    <w:uiPriority w:val="0"/>
    <w:rPr>
      <w:rFonts w:ascii="Arial" w:hAnsi="Arial" w:eastAsia="Malgun Gothic"/>
      <w:b/>
      <w:lang w:val="en-GB" w:eastAsia="en-US"/>
    </w:rPr>
  </w:style>
  <w:style w:type="paragraph" w:customStyle="1" w:styleId="78">
    <w:name w:val="text"/>
    <w:basedOn w:val="1"/>
    <w:link w:val="80"/>
    <w:qFormat/>
    <w:uiPriority w:val="0"/>
    <w:pPr>
      <w:widowControl w:val="0"/>
      <w:spacing w:after="240"/>
      <w:jc w:val="both"/>
    </w:pPr>
    <w:rPr>
      <w:rFonts w:ascii="Calibri" w:hAnsi="Calibri" w:eastAsia="宋体"/>
      <w:kern w:val="2"/>
      <w:sz w:val="24"/>
      <w:szCs w:val="20"/>
      <w:lang w:eastAsia="zh-CN"/>
    </w:rPr>
  </w:style>
  <w:style w:type="paragraph" w:customStyle="1" w:styleId="79">
    <w:name w:val="bullet1"/>
    <w:basedOn w:val="78"/>
    <w:link w:val="82"/>
    <w:qFormat/>
    <w:uiPriority w:val="0"/>
    <w:pPr>
      <w:widowControl/>
      <w:numPr>
        <w:ilvl w:val="0"/>
        <w:numId w:val="6"/>
      </w:numPr>
      <w:spacing w:after="0"/>
      <w:jc w:val="left"/>
    </w:pPr>
    <w:rPr>
      <w:szCs w:val="24"/>
      <w:lang w:val="en-GB"/>
    </w:rPr>
  </w:style>
  <w:style w:type="character" w:customStyle="1" w:styleId="80">
    <w:name w:val="text Char"/>
    <w:link w:val="78"/>
    <w:qFormat/>
    <w:uiPriority w:val="0"/>
    <w:rPr>
      <w:rFonts w:ascii="Calibri" w:hAnsi="Calibri" w:eastAsia="宋体"/>
      <w:kern w:val="2"/>
      <w:sz w:val="24"/>
    </w:rPr>
  </w:style>
  <w:style w:type="paragraph" w:customStyle="1" w:styleId="81">
    <w:name w:val="bullet2"/>
    <w:basedOn w:val="78"/>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2">
    <w:name w:val="bullet1 Char"/>
    <w:link w:val="79"/>
    <w:qFormat/>
    <w:uiPriority w:val="0"/>
    <w:rPr>
      <w:rFonts w:ascii="Calibri" w:hAnsi="Calibri"/>
      <w:kern w:val="2"/>
      <w:sz w:val="24"/>
      <w:szCs w:val="24"/>
      <w:lang w:val="en-GB"/>
    </w:rPr>
  </w:style>
  <w:style w:type="paragraph" w:customStyle="1" w:styleId="83">
    <w:name w:val="bullet3"/>
    <w:basedOn w:val="78"/>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bullet4"/>
    <w:basedOn w:val="78"/>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5">
    <w:name w:val="TAL"/>
    <w:basedOn w:val="1"/>
    <w:link w:val="86"/>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6">
    <w:name w:val="TAL Car"/>
    <w:link w:val="85"/>
    <w:qFormat/>
    <w:uiPriority w:val="0"/>
    <w:rPr>
      <w:rFonts w:ascii="Arial" w:hAnsi="Arial" w:eastAsia="Times New Roman"/>
      <w:sz w:val="18"/>
      <w:lang w:val="en-GB" w:eastAsia="ja-JP"/>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character" w:customStyle="1" w:styleId="89">
    <w:name w:val="Heading 1 Char"/>
    <w:basedOn w:val="28"/>
    <w:link w:val="2"/>
    <w:qFormat/>
    <w:uiPriority w:val="0"/>
    <w:rPr>
      <w:rFonts w:ascii="Arial" w:hAnsi="Arial" w:cs="Arial"/>
      <w:b/>
      <w:bCs/>
      <w:kern w:val="32"/>
      <w:sz w:val="28"/>
      <w:szCs w:val="32"/>
    </w:rPr>
  </w:style>
  <w:style w:type="character" w:customStyle="1" w:styleId="90">
    <w:name w:val="Heading 2 Char"/>
    <w:basedOn w:val="28"/>
    <w:link w:val="4"/>
    <w:qFormat/>
    <w:uiPriority w:val="0"/>
    <w:rPr>
      <w:rFonts w:ascii="Arial" w:hAnsi="Arial" w:eastAsia="MS Mincho" w:cs="Arial"/>
      <w:b/>
      <w:bCs/>
      <w:iCs/>
      <w:szCs w:val="28"/>
    </w:rPr>
  </w:style>
  <w:style w:type="character" w:customStyle="1" w:styleId="91">
    <w:name w:val="B1 Char1"/>
    <w:qFormat/>
    <w:uiPriority w:val="0"/>
    <w:rPr>
      <w:lang w:val="en-GB" w:eastAsia="en-US"/>
    </w:rPr>
  </w:style>
  <w:style w:type="paragraph" w:customStyle="1" w:styleId="92">
    <w:name w:val="B6"/>
    <w:basedOn w:val="61"/>
    <w:qFormat/>
    <w:uiPriority w:val="0"/>
    <w:pPr>
      <w:overflowPunct/>
      <w:autoSpaceDE/>
      <w:autoSpaceDN/>
      <w:adjustRightInd/>
      <w:ind w:left="1985"/>
      <w:textAlignment w:val="auto"/>
    </w:pPr>
    <w:rPr>
      <w:rFonts w:eastAsia="Malgun Gothic"/>
      <w:lang w:eastAsia="en-US"/>
    </w:rPr>
  </w:style>
  <w:style w:type="paragraph" w:customStyle="1" w:styleId="93">
    <w:name w:val="TAN"/>
    <w:basedOn w:val="85"/>
    <w:qFormat/>
    <w:uiPriority w:val="0"/>
    <w:pPr>
      <w:ind w:left="851" w:hanging="851"/>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91D471-BB7E-4F4F-B06A-F022CA9EFB19}">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2032</Words>
  <Characters>11587</Characters>
  <Lines>96</Lines>
  <Paragraphs>27</Paragraphs>
  <TotalTime>0</TotalTime>
  <ScaleCrop>false</ScaleCrop>
  <LinksUpToDate>false</LinksUpToDate>
  <CharactersWithSpaces>13592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2019-05-02T12:52:00Z</dcterms:created>
  <dc:creator>DaTang Mobile</dc:creator>
  <cp:lastModifiedBy>ChenHao</cp:lastModifiedBy>
  <cp:lastPrinted>2007-08-28T14:45:00Z</cp:lastPrinted>
  <dcterms:modified xsi:type="dcterms:W3CDTF">2019-05-03T00:10:43Z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